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34195D7" w14:textId="0BBF8DCA" w:rsidR="008873D6" w:rsidRDefault="005442F2" w:rsidP="005442F2">
      <w:pPr>
        <w:spacing w:line="240" w:lineRule="auto"/>
        <w:jc w:val="center"/>
        <w:rPr>
          <w:rFonts w:cstheme="minorHAnsi"/>
          <w:b/>
          <w:bCs/>
          <w:sz w:val="36"/>
          <w:szCs w:val="36"/>
        </w:rPr>
      </w:pPr>
      <w:r w:rsidRPr="005442F2">
        <w:rPr>
          <w:rFonts w:cstheme="minorHAnsi"/>
          <w:b/>
          <w:bCs/>
          <w:sz w:val="36"/>
          <w:szCs w:val="36"/>
        </w:rPr>
        <w:t xml:space="preserve">Podklady pro projektovou dokumentaci </w:t>
      </w:r>
      <w:r w:rsidR="00EA4463">
        <w:rPr>
          <w:rFonts w:cstheme="minorHAnsi"/>
          <w:b/>
          <w:bCs/>
          <w:sz w:val="36"/>
          <w:szCs w:val="36"/>
        </w:rPr>
        <w:t>n</w:t>
      </w:r>
      <w:r w:rsidRPr="005442F2">
        <w:rPr>
          <w:rFonts w:cstheme="minorHAnsi"/>
          <w:b/>
          <w:bCs/>
          <w:sz w:val="36"/>
          <w:szCs w:val="36"/>
        </w:rPr>
        <w:t>a realizaci přeložky teplovodní přípojky pro objekt ČD v</w:t>
      </w:r>
      <w:r>
        <w:rPr>
          <w:rFonts w:cstheme="minorHAnsi"/>
          <w:b/>
          <w:bCs/>
          <w:sz w:val="36"/>
          <w:szCs w:val="36"/>
        </w:rPr>
        <w:t> </w:t>
      </w:r>
      <w:r w:rsidRPr="005442F2">
        <w:rPr>
          <w:rFonts w:cstheme="minorHAnsi"/>
          <w:b/>
          <w:bCs/>
          <w:sz w:val="36"/>
          <w:szCs w:val="36"/>
        </w:rPr>
        <w:t>Kopřivnici</w:t>
      </w:r>
    </w:p>
    <w:p w14:paraId="1CAD159A" w14:textId="3E6CCC9D" w:rsidR="005442F2" w:rsidRDefault="005442F2" w:rsidP="005442F2">
      <w:pPr>
        <w:spacing w:line="240" w:lineRule="auto"/>
        <w:jc w:val="center"/>
        <w:rPr>
          <w:rFonts w:cstheme="minorHAnsi"/>
          <w:b/>
          <w:bCs/>
          <w:sz w:val="36"/>
          <w:szCs w:val="36"/>
        </w:rPr>
      </w:pPr>
    </w:p>
    <w:p w14:paraId="6EF28557" w14:textId="77777777" w:rsidR="005442F2" w:rsidRPr="005442F2" w:rsidRDefault="005442F2" w:rsidP="005442F2">
      <w:pPr>
        <w:spacing w:line="240" w:lineRule="auto"/>
        <w:jc w:val="center"/>
        <w:rPr>
          <w:rFonts w:cstheme="minorHAnsi"/>
          <w:b/>
          <w:bCs/>
          <w:sz w:val="36"/>
          <w:szCs w:val="36"/>
        </w:rPr>
      </w:pPr>
    </w:p>
    <w:sdt>
      <w:sdtPr>
        <w:rPr>
          <w:rFonts w:asciiTheme="minorHAnsi" w:eastAsiaTheme="minorHAnsi" w:hAnsiTheme="minorHAnsi" w:cstheme="minorHAnsi"/>
          <w:b w:val="0"/>
          <w:iCs w:val="0"/>
          <w:sz w:val="24"/>
          <w:szCs w:val="22"/>
        </w:rPr>
        <w:id w:val="32146568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14:paraId="661E35F1" w14:textId="77777777" w:rsidR="00617418" w:rsidRPr="005442F2" w:rsidRDefault="00D16795" w:rsidP="005442F2">
          <w:pPr>
            <w:pStyle w:val="Podnadpis"/>
            <w:spacing w:line="240" w:lineRule="auto"/>
            <w:rPr>
              <w:rFonts w:asciiTheme="minorHAnsi" w:hAnsiTheme="minorHAnsi" w:cstheme="minorHAnsi"/>
              <w:sz w:val="24"/>
            </w:rPr>
          </w:pPr>
          <w:r w:rsidRPr="005442F2">
            <w:rPr>
              <w:rFonts w:asciiTheme="minorHAnsi" w:hAnsiTheme="minorHAnsi" w:cstheme="minorHAnsi"/>
              <w:sz w:val="28"/>
              <w:szCs w:val="28"/>
            </w:rPr>
            <w:t>OBSAH</w:t>
          </w:r>
        </w:p>
        <w:p w14:paraId="3F409313" w14:textId="79B3BA13" w:rsidR="00143450" w:rsidRDefault="00464C9B">
          <w:pPr>
            <w:pStyle w:val="Obsah2"/>
            <w:rPr>
              <w:rFonts w:eastAsiaTheme="minorEastAsia"/>
              <w:noProof/>
              <w:lang w:eastAsia="cs-CZ"/>
            </w:rPr>
          </w:pPr>
          <w:r w:rsidRPr="005442F2">
            <w:rPr>
              <w:rFonts w:cstheme="minorHAnsi"/>
              <w:b/>
              <w:noProof/>
              <w:sz w:val="24"/>
              <w:szCs w:val="24"/>
            </w:rPr>
            <w:fldChar w:fldCharType="begin"/>
          </w:r>
          <w:r w:rsidR="00617418" w:rsidRPr="005442F2">
            <w:rPr>
              <w:rFonts w:cstheme="minorHAnsi"/>
            </w:rPr>
            <w:instrText xml:space="preserve"> TOC \o "1-3" \h \z \u </w:instrText>
          </w:r>
          <w:r w:rsidRPr="005442F2">
            <w:rPr>
              <w:rFonts w:cstheme="minorHAnsi"/>
              <w:b/>
              <w:noProof/>
              <w:sz w:val="24"/>
              <w:szCs w:val="24"/>
            </w:rPr>
            <w:fldChar w:fldCharType="separate"/>
          </w:r>
          <w:hyperlink w:anchor="_Toc128393471" w:history="1">
            <w:r w:rsidR="00143450" w:rsidRPr="00E056AB">
              <w:rPr>
                <w:rStyle w:val="Hypertextovodkaz"/>
                <w:rFonts w:cstheme="minorHAnsi"/>
                <w:noProof/>
              </w:rPr>
              <w:t>1.1</w:t>
            </w:r>
            <w:r w:rsidR="00143450">
              <w:rPr>
                <w:rFonts w:eastAsiaTheme="minorEastAsia"/>
                <w:noProof/>
                <w:lang w:eastAsia="cs-CZ"/>
              </w:rPr>
              <w:tab/>
            </w:r>
            <w:r w:rsidR="00143450" w:rsidRPr="00E056AB">
              <w:rPr>
                <w:rStyle w:val="Hypertextovodkaz"/>
                <w:rFonts w:cstheme="minorHAnsi"/>
                <w:noProof/>
              </w:rPr>
              <w:t>Účel užívání stavby, základní kapacity funkčních jednotek</w:t>
            </w:r>
            <w:r w:rsidR="00143450">
              <w:rPr>
                <w:noProof/>
                <w:webHidden/>
              </w:rPr>
              <w:tab/>
            </w:r>
            <w:r w:rsidR="00143450">
              <w:rPr>
                <w:noProof/>
                <w:webHidden/>
              </w:rPr>
              <w:fldChar w:fldCharType="begin"/>
            </w:r>
            <w:r w:rsidR="00143450">
              <w:rPr>
                <w:noProof/>
                <w:webHidden/>
              </w:rPr>
              <w:instrText xml:space="preserve"> PAGEREF _Toc128393471 \h </w:instrText>
            </w:r>
            <w:r w:rsidR="00143450">
              <w:rPr>
                <w:noProof/>
                <w:webHidden/>
              </w:rPr>
            </w:r>
            <w:r w:rsidR="00143450">
              <w:rPr>
                <w:noProof/>
                <w:webHidden/>
              </w:rPr>
              <w:fldChar w:fldCharType="separate"/>
            </w:r>
            <w:r w:rsidR="00143450">
              <w:rPr>
                <w:noProof/>
                <w:webHidden/>
              </w:rPr>
              <w:t>2</w:t>
            </w:r>
            <w:r w:rsidR="00143450">
              <w:rPr>
                <w:noProof/>
                <w:webHidden/>
              </w:rPr>
              <w:fldChar w:fldCharType="end"/>
            </w:r>
          </w:hyperlink>
        </w:p>
        <w:p w14:paraId="2B5719E5" w14:textId="0415BC2D" w:rsidR="00143450" w:rsidRDefault="00143450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28393472" w:history="1">
            <w:r w:rsidRPr="00E056AB">
              <w:rPr>
                <w:rStyle w:val="Hypertextovodkaz"/>
                <w:rFonts w:cstheme="minorHAnsi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  <w:noProof/>
              </w:rPr>
              <w:t>Základní charakteristika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_Toc128393472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91F70" w14:textId="503E2A21" w:rsidR="00143450" w:rsidRDefault="00143450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28393473" w:history="1">
            <w:r w:rsidRPr="00E056AB">
              <w:rPr>
                <w:rStyle w:val="Hypertextovodkaz"/>
                <w:rFonts w:cstheme="minorHAnsi"/>
                <w:noProof/>
              </w:rPr>
              <w:t>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  <w:noProof/>
              </w:rPr>
              <w:t>Základní charakteristika technických a technologických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_Toc128393473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7DCD5" w14:textId="5B20392A" w:rsidR="00143450" w:rsidRDefault="00143450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128393474" w:history="1">
            <w:r w:rsidRPr="00E056AB">
              <w:rPr>
                <w:rStyle w:val="Hypertextovodkaz"/>
                <w:rFonts w:cstheme="minorHAnsi"/>
              </w:rPr>
              <w:t>2.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</w:rPr>
              <w:t>Připojení na technickou infrastrukturu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_Toc128393474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12FCCB7" w14:textId="794B32C0" w:rsidR="00143450" w:rsidRDefault="00143450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28393475" w:history="1">
            <w:r w:rsidRPr="00E056AB">
              <w:rPr>
                <w:rStyle w:val="Hypertextovodkaz"/>
                <w:rFonts w:cstheme="minorHAnsi"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  <w:noProof/>
              </w:rPr>
              <w:t>Připojovací rozměry, výkonové kapacity a délky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_Toc128393475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D73B5" w14:textId="419F6A17" w:rsidR="00143450" w:rsidRDefault="00143450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128393476" w:history="1">
            <w:r w:rsidRPr="00E056AB">
              <w:rPr>
                <w:rStyle w:val="Hypertextovodkaz"/>
                <w:rFonts w:cstheme="minorHAnsi"/>
              </w:rPr>
              <w:t>3.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</w:rPr>
              <w:t>Požadované kontroly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_Toc128393476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1DC9775" w14:textId="43A8A449" w:rsidR="00143450" w:rsidRDefault="00143450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128393477" w:history="1">
            <w:r w:rsidRPr="00E056AB">
              <w:rPr>
                <w:rStyle w:val="Hypertextovodkaz"/>
                <w:rFonts w:cstheme="minorHAnsi"/>
              </w:rPr>
              <w:t>4.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</w:rPr>
              <w:t>Předávací dokumentace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_Toc128393477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6AB3FE5" w14:textId="20E6A2DA" w:rsidR="00143450" w:rsidRDefault="00143450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128393478" w:history="1">
            <w:r w:rsidRPr="00E056AB">
              <w:rPr>
                <w:rStyle w:val="Hypertextovodkaz"/>
                <w:rFonts w:cstheme="minorHAnsi"/>
              </w:rPr>
              <w:t>5.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E056AB">
              <w:rPr>
                <w:rStyle w:val="Hypertextovodkaz"/>
                <w:rFonts w:cstheme="minorHAnsi"/>
              </w:rPr>
              <w:t>Přílohy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_Toc128393478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A060750" w14:textId="32BEFD3F" w:rsidR="00617418" w:rsidRPr="005442F2" w:rsidRDefault="00464C9B" w:rsidP="005442F2">
          <w:pPr>
            <w:spacing w:line="240" w:lineRule="auto"/>
            <w:rPr>
              <w:rFonts w:cstheme="minorHAnsi"/>
            </w:rPr>
          </w:pPr>
          <w:r w:rsidRPr="005442F2">
            <w:rPr>
              <w:rFonts w:cstheme="minorHAnsi"/>
            </w:rPr>
            <w:fldChar w:fldCharType="end"/>
          </w:r>
        </w:p>
      </w:sdtContent>
    </w:sdt>
    <w:p w14:paraId="34536F17" w14:textId="77777777" w:rsidR="008873D6" w:rsidRPr="005442F2" w:rsidRDefault="008873D6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br w:type="page"/>
      </w:r>
    </w:p>
    <w:p w14:paraId="614C2BFB" w14:textId="77777777" w:rsidR="008508F7" w:rsidRPr="005442F2" w:rsidRDefault="008508F7" w:rsidP="005442F2">
      <w:pPr>
        <w:pStyle w:val="Nadpis2"/>
        <w:tabs>
          <w:tab w:val="clear" w:pos="993"/>
        </w:tabs>
        <w:rPr>
          <w:rFonts w:asciiTheme="minorHAnsi" w:hAnsiTheme="minorHAnsi" w:cstheme="minorHAnsi"/>
          <w:lang w:eastAsia="en-US"/>
        </w:rPr>
      </w:pPr>
      <w:bookmarkStart w:id="0" w:name="_Toc128393471"/>
      <w:r w:rsidRPr="005442F2">
        <w:rPr>
          <w:rFonts w:asciiTheme="minorHAnsi" w:hAnsiTheme="minorHAnsi" w:cstheme="minorHAnsi"/>
          <w:lang w:eastAsia="en-US"/>
        </w:rPr>
        <w:lastRenderedPageBreak/>
        <w:t>Účel užívání stavby, základní kapacity funkčních jednotek</w:t>
      </w:r>
      <w:bookmarkEnd w:id="0"/>
    </w:p>
    <w:p w14:paraId="42401892" w14:textId="77777777" w:rsidR="0004204E" w:rsidRPr="005442F2" w:rsidRDefault="0004204E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Potrubí teplovodu je umístěno v neprůchozím kanále. </w:t>
      </w:r>
      <w:r w:rsidR="00C50366" w:rsidRPr="005442F2">
        <w:rPr>
          <w:rFonts w:cstheme="minorHAnsi"/>
        </w:rPr>
        <w:t xml:space="preserve">V současné době slouží teplovod k distribuci tepla. </w:t>
      </w:r>
      <w:r w:rsidRPr="005442F2">
        <w:rPr>
          <w:rFonts w:cstheme="minorHAnsi"/>
        </w:rPr>
        <w:t>Potrubí je napojeno na výměníkové umístěných u jednotlivých odběratelů. Po ukončení stavby zůstane účel užívaní nezměněn.</w:t>
      </w:r>
    </w:p>
    <w:p w14:paraId="2FFB7175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Zdroj tepla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="00647B4B" w:rsidRPr="005442F2">
        <w:rPr>
          <w:rFonts w:cstheme="minorHAnsi"/>
        </w:rPr>
        <w:tab/>
      </w:r>
      <w:r w:rsidR="00647B4B" w:rsidRPr="005442F2">
        <w:rPr>
          <w:rFonts w:cstheme="minorHAnsi"/>
        </w:rPr>
        <w:tab/>
      </w:r>
      <w:r w:rsidRPr="005442F2">
        <w:rPr>
          <w:rFonts w:cstheme="minorHAnsi"/>
        </w:rPr>
        <w:t>parovodní VS</w:t>
      </w:r>
    </w:p>
    <w:p w14:paraId="5C3C55DE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Druh sítě: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dvoutrubní, teplovodní, bezkanálová</w:t>
      </w:r>
    </w:p>
    <w:p w14:paraId="11B7009D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Dimenze potrubí: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DN 80</w:t>
      </w:r>
    </w:p>
    <w:p w14:paraId="349F4E25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Maximální teplota – zima: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105°C</w:t>
      </w:r>
    </w:p>
    <w:p w14:paraId="5E85A360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Jmenovitý teplotní spád – zima: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103/53°C</w:t>
      </w:r>
    </w:p>
    <w:p w14:paraId="47D99415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Jmenovitý teplotní spád - léto: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75/35°C</w:t>
      </w:r>
    </w:p>
    <w:p w14:paraId="0112CD4A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TS (nejvyšší dovolená teplota dle ČSN EN 13 480-3:2013):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110°C</w:t>
      </w:r>
    </w:p>
    <w:p w14:paraId="495A3353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PS (nejvyšší dovolený tlak dle ČSN EN 13 480-3:2013):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1 600 kPa</w:t>
      </w:r>
    </w:p>
    <w:p w14:paraId="246FCDC6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Tlaková úroveň (PI armatury):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PN 25</w:t>
      </w:r>
    </w:p>
    <w:p w14:paraId="7035E2F8" w14:textId="77777777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Tlaková úroveň (potrubí):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PN 16</w:t>
      </w:r>
    </w:p>
    <w:p w14:paraId="5E512D37" w14:textId="748CACCA" w:rsidR="0004204E" w:rsidRPr="005442F2" w:rsidRDefault="0004204E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Max. provozní přetlak: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cca 1,3 MPa</w:t>
      </w:r>
    </w:p>
    <w:p w14:paraId="53CDA94F" w14:textId="10C21BBA" w:rsidR="00E72822" w:rsidRPr="005442F2" w:rsidRDefault="00E72822" w:rsidP="005442F2">
      <w:pPr>
        <w:pStyle w:val="Bezmezer"/>
        <w:rPr>
          <w:rFonts w:cstheme="minorHAnsi"/>
        </w:rPr>
      </w:pPr>
    </w:p>
    <w:p w14:paraId="01AE70D0" w14:textId="6101DF95" w:rsidR="00E72822" w:rsidRPr="005442F2" w:rsidRDefault="00E72822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 xml:space="preserve">Dimenze </w:t>
      </w:r>
      <w:r w:rsidR="005442F2">
        <w:rPr>
          <w:rFonts w:cstheme="minorHAnsi"/>
        </w:rPr>
        <w:t xml:space="preserve">odbočky pro </w:t>
      </w:r>
      <w:r w:rsidRPr="005442F2">
        <w:rPr>
          <w:rFonts w:cstheme="minorHAnsi"/>
        </w:rPr>
        <w:t>přípojk</w:t>
      </w:r>
      <w:r w:rsidR="005442F2">
        <w:rPr>
          <w:rFonts w:cstheme="minorHAnsi"/>
        </w:rPr>
        <w:t>u</w:t>
      </w:r>
      <w:r w:rsidRPr="005442F2">
        <w:rPr>
          <w:rFonts w:cstheme="minorHAnsi"/>
        </w:rPr>
        <w:t xml:space="preserve"> pro objekt ČD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DN 65</w:t>
      </w:r>
    </w:p>
    <w:p w14:paraId="04746400" w14:textId="67A26F95" w:rsidR="00E72822" w:rsidRPr="005442F2" w:rsidRDefault="00E72822" w:rsidP="005442F2">
      <w:pPr>
        <w:pStyle w:val="Bezmezer"/>
        <w:rPr>
          <w:rFonts w:cstheme="minorHAnsi"/>
        </w:rPr>
      </w:pPr>
      <w:r w:rsidRPr="005442F2">
        <w:rPr>
          <w:rFonts w:cstheme="minorHAnsi"/>
        </w:rPr>
        <w:t>Uzavírací armatury</w:t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</w:r>
      <w:r w:rsidRPr="005442F2">
        <w:rPr>
          <w:rFonts w:cstheme="minorHAnsi"/>
        </w:rPr>
        <w:tab/>
        <w:t>KK 65</w:t>
      </w:r>
    </w:p>
    <w:p w14:paraId="57ED9972" w14:textId="77777777" w:rsidR="00453628" w:rsidRPr="005442F2" w:rsidRDefault="00453628" w:rsidP="005442F2">
      <w:pPr>
        <w:pStyle w:val="Nadpis2"/>
        <w:tabs>
          <w:tab w:val="clear" w:pos="993"/>
        </w:tabs>
        <w:rPr>
          <w:rFonts w:asciiTheme="minorHAnsi" w:hAnsiTheme="minorHAnsi" w:cstheme="minorHAnsi"/>
          <w:lang w:eastAsia="en-US"/>
        </w:rPr>
      </w:pPr>
      <w:bookmarkStart w:id="1" w:name="_Toc128393472"/>
      <w:r w:rsidRPr="005442F2">
        <w:rPr>
          <w:rFonts w:asciiTheme="minorHAnsi" w:hAnsiTheme="minorHAnsi" w:cstheme="minorHAnsi"/>
          <w:lang w:eastAsia="en-US"/>
        </w:rPr>
        <w:t xml:space="preserve">Základní </w:t>
      </w:r>
      <w:r w:rsidR="002471E9" w:rsidRPr="005442F2">
        <w:rPr>
          <w:rFonts w:asciiTheme="minorHAnsi" w:hAnsiTheme="minorHAnsi" w:cstheme="minorHAnsi"/>
          <w:lang w:eastAsia="en-US"/>
        </w:rPr>
        <w:t>charakteristika objektů</w:t>
      </w:r>
      <w:bookmarkEnd w:id="1"/>
    </w:p>
    <w:p w14:paraId="5124A080" w14:textId="77777777" w:rsidR="002471E9" w:rsidRPr="005442F2" w:rsidRDefault="002471E9" w:rsidP="005442F2">
      <w:pPr>
        <w:pStyle w:val="Podnadpis"/>
        <w:spacing w:line="240" w:lineRule="auto"/>
        <w:rPr>
          <w:rFonts w:asciiTheme="minorHAnsi" w:hAnsiTheme="minorHAnsi" w:cstheme="minorHAnsi"/>
        </w:rPr>
      </w:pPr>
      <w:r w:rsidRPr="005442F2">
        <w:rPr>
          <w:rFonts w:asciiTheme="minorHAnsi" w:hAnsiTheme="minorHAnsi" w:cstheme="minorHAnsi"/>
        </w:rPr>
        <w:t>Stavební řešení</w:t>
      </w:r>
    </w:p>
    <w:p w14:paraId="052E3288" w14:textId="77777777" w:rsidR="00871930" w:rsidRPr="005442F2" w:rsidRDefault="00871930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Před zahájením výkopových prací bude v šířce výkopu odstraněn drn a vrstva ornice cca 20cm a vybourány povrchy zpevněných ploch. Zbylý výkopek bude ukládán podél výkopu a na určených deponiích a bude použit posléze na zpětný zásyp. Ornice bude ukládána samostatně. </w:t>
      </w:r>
    </w:p>
    <w:p w14:paraId="585551B0" w14:textId="174784D4" w:rsidR="00871930" w:rsidRPr="005442F2" w:rsidRDefault="00871930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Poté budou provedeny výkopové práce do hloubky cca 1m. </w:t>
      </w:r>
      <w:r w:rsidR="00E72822" w:rsidRPr="005442F2">
        <w:rPr>
          <w:rFonts w:cstheme="minorHAnsi"/>
        </w:rPr>
        <w:t>V případě že bude ponecháno těleso stávajícího teplovodního kanálu</w:t>
      </w:r>
      <w:r w:rsidRPr="005442F2">
        <w:rPr>
          <w:rFonts w:cstheme="minorHAnsi"/>
        </w:rPr>
        <w:t xml:space="preserve"> budou demontovány zákrytové desky a bude vyřezáno stávající potrubí včetně podpěrných ocelových konstrukcí. Potrubí nové přípojky bude uloženo do výkopu do podsypu pískem zrnitosti 0-4 mm, ve vrstvě 100 mm. Po ukončení montáže nového potrubí se provede jeho obsyp pískem se stejnými kvalitativními znaky min. 100</w:t>
      </w:r>
      <w:r w:rsidR="005442F2" w:rsidRPr="005442F2">
        <w:rPr>
          <w:rFonts w:cstheme="minorHAnsi"/>
        </w:rPr>
        <w:t xml:space="preserve"> </w:t>
      </w:r>
      <w:r w:rsidRPr="005442F2">
        <w:rPr>
          <w:rFonts w:cstheme="minorHAnsi"/>
        </w:rPr>
        <w:t>mm nad horní povrch pláště potrubní izolace. Na tuto vrstvu písku budou ukládány výstražné folie a poté výkop zasypán.</w:t>
      </w:r>
    </w:p>
    <w:p w14:paraId="5C2BB550" w14:textId="6524DAAB" w:rsidR="00871930" w:rsidRPr="005442F2" w:rsidRDefault="00871930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Pro zásyp bude použit vytěžený výkopek hlíny bez kamenů a suti. V místě vstupu do objektu </w:t>
      </w:r>
      <w:r w:rsidR="00E72822" w:rsidRPr="005442F2">
        <w:rPr>
          <w:rFonts w:cstheme="minorHAnsi"/>
        </w:rPr>
        <w:t>ČD</w:t>
      </w:r>
      <w:r w:rsidRPr="005442F2">
        <w:rPr>
          <w:rFonts w:cstheme="minorHAnsi"/>
        </w:rPr>
        <w:t xml:space="preserve"> bude vybourán vstupní otvor do základového p</w:t>
      </w:r>
      <w:r w:rsidR="00D508C1" w:rsidRPr="005442F2">
        <w:rPr>
          <w:rFonts w:cstheme="minorHAnsi"/>
        </w:rPr>
        <w:t>á</w:t>
      </w:r>
      <w:r w:rsidRPr="005442F2">
        <w:rPr>
          <w:rFonts w:cstheme="minorHAnsi"/>
        </w:rPr>
        <w:t>su. Po montáži bude procházející potrubí obezděno.</w:t>
      </w:r>
    </w:p>
    <w:p w14:paraId="13D798E1" w14:textId="3096B0F0" w:rsidR="00871930" w:rsidRPr="005442F2" w:rsidRDefault="00871930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>Narušené povrchy v trase budou uvedeny zpět do původního stavu. V zelené ploše bude podle potřeby rozprostřena vrstva humusu a povrch bude znovu oset travou.</w:t>
      </w:r>
    </w:p>
    <w:p w14:paraId="5110A8E8" w14:textId="6D94E34E" w:rsidR="00302896" w:rsidRPr="005442F2" w:rsidRDefault="00FE5120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Pro </w:t>
      </w:r>
      <w:r w:rsidR="00302896" w:rsidRPr="005442F2">
        <w:rPr>
          <w:rFonts w:cstheme="minorHAnsi"/>
        </w:rPr>
        <w:t>odved</w:t>
      </w:r>
      <w:r w:rsidRPr="005442F2">
        <w:rPr>
          <w:rFonts w:cstheme="minorHAnsi"/>
        </w:rPr>
        <w:t>ení</w:t>
      </w:r>
      <w:r w:rsidR="00302896" w:rsidRPr="005442F2">
        <w:rPr>
          <w:rFonts w:cstheme="minorHAnsi"/>
        </w:rPr>
        <w:t xml:space="preserve"> dešťov</w:t>
      </w:r>
      <w:r w:rsidRPr="005442F2">
        <w:rPr>
          <w:rFonts w:cstheme="minorHAnsi"/>
        </w:rPr>
        <w:t>é</w:t>
      </w:r>
      <w:r w:rsidR="00302896" w:rsidRPr="005442F2">
        <w:rPr>
          <w:rFonts w:cstheme="minorHAnsi"/>
        </w:rPr>
        <w:t xml:space="preserve"> vodu z kanálu budou jeho části </w:t>
      </w:r>
      <w:r w:rsidRPr="005442F2">
        <w:rPr>
          <w:rFonts w:cstheme="minorHAnsi"/>
        </w:rPr>
        <w:t xml:space="preserve">v dostatečném rozsahu </w:t>
      </w:r>
      <w:r w:rsidR="00302896" w:rsidRPr="005442F2">
        <w:rPr>
          <w:rFonts w:cstheme="minorHAnsi"/>
        </w:rPr>
        <w:t>demontovány.</w:t>
      </w:r>
    </w:p>
    <w:p w14:paraId="00003317" w14:textId="77777777" w:rsidR="00871930" w:rsidRPr="005442F2" w:rsidRDefault="00871930" w:rsidP="005442F2">
      <w:pPr>
        <w:spacing w:line="240" w:lineRule="auto"/>
        <w:rPr>
          <w:rFonts w:cstheme="minorHAnsi"/>
          <w:b/>
          <w:bCs/>
          <w:u w:val="single"/>
        </w:rPr>
      </w:pPr>
      <w:r w:rsidRPr="005442F2">
        <w:rPr>
          <w:rFonts w:cstheme="minorHAnsi"/>
          <w:b/>
          <w:bCs/>
          <w:u w:val="single"/>
        </w:rPr>
        <w:t>Spolu s potrubím bude ve výkopech položen sdělovací kabel.</w:t>
      </w:r>
    </w:p>
    <w:p w14:paraId="065D4FD1" w14:textId="77777777" w:rsidR="002471E9" w:rsidRPr="005442F2" w:rsidRDefault="002471E9" w:rsidP="005442F2">
      <w:pPr>
        <w:pStyle w:val="Podnadpis"/>
        <w:spacing w:line="240" w:lineRule="auto"/>
        <w:rPr>
          <w:rFonts w:asciiTheme="minorHAnsi" w:hAnsiTheme="minorHAnsi" w:cstheme="minorHAnsi"/>
        </w:rPr>
      </w:pPr>
      <w:r w:rsidRPr="005442F2">
        <w:rPr>
          <w:rFonts w:asciiTheme="minorHAnsi" w:hAnsiTheme="minorHAnsi" w:cstheme="minorHAnsi"/>
        </w:rPr>
        <w:t>Konstrukční a materiálové řešení</w:t>
      </w:r>
    </w:p>
    <w:p w14:paraId="44CBC224" w14:textId="2090D62F" w:rsidR="00075048" w:rsidRPr="005442F2" w:rsidRDefault="00075048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Předizolované potrubí bude ukládáno bezkanálovou technologií do výkopů. Potrubí vedené v objektu </w:t>
      </w:r>
      <w:r w:rsidR="00E72822" w:rsidRPr="005442F2">
        <w:rPr>
          <w:rFonts w:cstheme="minorHAnsi"/>
        </w:rPr>
        <w:t>ČD</w:t>
      </w:r>
      <w:r w:rsidRPr="005442F2">
        <w:rPr>
          <w:rFonts w:cstheme="minorHAnsi"/>
        </w:rPr>
        <w:t xml:space="preserve"> bude prováděno běžnou technologií.</w:t>
      </w:r>
    </w:p>
    <w:p w14:paraId="57E3C847" w14:textId="77777777" w:rsidR="002471E9" w:rsidRPr="005442F2" w:rsidRDefault="002471E9" w:rsidP="005442F2">
      <w:pPr>
        <w:pStyle w:val="Podnadpis"/>
        <w:spacing w:line="240" w:lineRule="auto"/>
        <w:rPr>
          <w:rFonts w:asciiTheme="minorHAnsi" w:hAnsiTheme="minorHAnsi" w:cstheme="minorHAnsi"/>
        </w:rPr>
      </w:pPr>
      <w:r w:rsidRPr="005442F2">
        <w:rPr>
          <w:rFonts w:asciiTheme="minorHAnsi" w:hAnsiTheme="minorHAnsi" w:cstheme="minorHAnsi"/>
        </w:rPr>
        <w:t>Mechanická odolnost a stabilita</w:t>
      </w:r>
    </w:p>
    <w:p w14:paraId="58872688" w14:textId="77777777" w:rsidR="00075048" w:rsidRPr="005442F2" w:rsidRDefault="00075048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Stavba bude navržena v souladu s požadavky Vyhlášky 268/2009 Sb., o technických požadavcích na stavby. </w:t>
      </w:r>
    </w:p>
    <w:p w14:paraId="53DE07F8" w14:textId="77777777" w:rsidR="00E253EE" w:rsidRPr="005442F2" w:rsidRDefault="002471E9" w:rsidP="005442F2">
      <w:pPr>
        <w:pStyle w:val="Nadpis2"/>
        <w:tabs>
          <w:tab w:val="clear" w:pos="993"/>
        </w:tabs>
        <w:rPr>
          <w:rFonts w:asciiTheme="minorHAnsi" w:hAnsiTheme="minorHAnsi" w:cstheme="minorHAnsi"/>
          <w:lang w:eastAsia="en-US"/>
        </w:rPr>
      </w:pPr>
      <w:bookmarkStart w:id="2" w:name="_Toc128393473"/>
      <w:r w:rsidRPr="005442F2">
        <w:rPr>
          <w:rFonts w:asciiTheme="minorHAnsi" w:hAnsiTheme="minorHAnsi" w:cstheme="minorHAnsi"/>
          <w:lang w:eastAsia="en-US"/>
        </w:rPr>
        <w:lastRenderedPageBreak/>
        <w:t>Základní charakteristika technických a technologických zařízení</w:t>
      </w:r>
      <w:bookmarkEnd w:id="2"/>
    </w:p>
    <w:p w14:paraId="07E4A9C3" w14:textId="77777777" w:rsidR="002471E9" w:rsidRPr="005442F2" w:rsidRDefault="002471E9" w:rsidP="005442F2">
      <w:pPr>
        <w:pStyle w:val="Podnadpis"/>
        <w:spacing w:line="240" w:lineRule="auto"/>
        <w:rPr>
          <w:rFonts w:asciiTheme="minorHAnsi" w:hAnsiTheme="minorHAnsi" w:cstheme="minorHAnsi"/>
        </w:rPr>
      </w:pPr>
      <w:r w:rsidRPr="005442F2">
        <w:rPr>
          <w:rFonts w:asciiTheme="minorHAnsi" w:hAnsiTheme="minorHAnsi" w:cstheme="minorHAnsi"/>
        </w:rPr>
        <w:t>Technické řešení</w:t>
      </w:r>
    </w:p>
    <w:p w14:paraId="6A514A32" w14:textId="5BDD2799" w:rsidR="00E253EE" w:rsidRPr="005442F2" w:rsidRDefault="00523686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>J</w:t>
      </w:r>
      <w:r w:rsidR="0051607F" w:rsidRPr="005442F2">
        <w:rPr>
          <w:rFonts w:cstheme="minorHAnsi"/>
        </w:rPr>
        <w:t>edná</w:t>
      </w:r>
      <w:r w:rsidR="00914C30" w:rsidRPr="005442F2">
        <w:rPr>
          <w:rFonts w:cstheme="minorHAnsi"/>
        </w:rPr>
        <w:t xml:space="preserve"> se</w:t>
      </w:r>
      <w:r w:rsidR="0051607F" w:rsidRPr="005442F2">
        <w:rPr>
          <w:rFonts w:cstheme="minorHAnsi"/>
        </w:rPr>
        <w:t xml:space="preserve"> o </w:t>
      </w:r>
      <w:r w:rsidR="00E72822" w:rsidRPr="005442F2">
        <w:rPr>
          <w:rFonts w:cstheme="minorHAnsi"/>
        </w:rPr>
        <w:t>přeložku</w:t>
      </w:r>
      <w:r w:rsidR="0051607F" w:rsidRPr="005442F2">
        <w:rPr>
          <w:rFonts w:cstheme="minorHAnsi"/>
        </w:rPr>
        <w:t xml:space="preserve"> stávajícího vedení, nové potrubí bude vedeno ve stávající trase. V současné době je přípojka umístěna v neprůchozím topném kanále. Při realizaci bude odkryta nutná část zeminy </w:t>
      </w:r>
      <w:r w:rsidRPr="005442F2">
        <w:rPr>
          <w:rFonts w:cstheme="minorHAnsi"/>
        </w:rPr>
        <w:t xml:space="preserve">umístěné nad kanálem </w:t>
      </w:r>
      <w:r w:rsidR="0051607F" w:rsidRPr="005442F2">
        <w:rPr>
          <w:rFonts w:cstheme="minorHAnsi"/>
        </w:rPr>
        <w:t>a horní panel stávajícího kanálu. Stávající potrubí bude demontováno.</w:t>
      </w:r>
    </w:p>
    <w:p w14:paraId="4B984E62" w14:textId="77777777" w:rsidR="0051607F" w:rsidRPr="005442F2" w:rsidRDefault="0051607F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Posléze bude do kanálu umístěno nové potrubí a kanál bude zasypán dle vzorových řezů. Horní část kanálu nebude navrácena. </w:t>
      </w:r>
    </w:p>
    <w:p w14:paraId="013C3B94" w14:textId="77777777" w:rsidR="00CF255F" w:rsidRDefault="00CF255F" w:rsidP="00CF255F">
      <w:pPr>
        <w:pStyle w:val="Bezmezer"/>
        <w:rPr>
          <w:rFonts w:cstheme="minorHAnsi"/>
          <w:b/>
          <w:bCs/>
          <w:u w:val="single"/>
          <w:lang w:eastAsia="cs-CZ"/>
        </w:rPr>
      </w:pPr>
      <w:r w:rsidRPr="005442F2">
        <w:rPr>
          <w:rFonts w:cstheme="minorHAnsi"/>
          <w:b/>
          <w:bCs/>
          <w:u w:val="single"/>
          <w:lang w:eastAsia="cs-CZ"/>
        </w:rPr>
        <w:t xml:space="preserve">S ohledem na kompatibilitu napojení na stávající rozvod požaduje vlastník rozvodné sítě TEPLO Kopřivnice s.r.o. </w:t>
      </w:r>
      <w:r>
        <w:rPr>
          <w:rFonts w:cstheme="minorHAnsi"/>
          <w:b/>
          <w:bCs/>
          <w:u w:val="single"/>
          <w:lang w:eastAsia="cs-CZ"/>
        </w:rPr>
        <w:t xml:space="preserve">použít </w:t>
      </w:r>
      <w:r w:rsidRPr="005442F2">
        <w:rPr>
          <w:rFonts w:cstheme="minorHAnsi"/>
          <w:b/>
          <w:bCs/>
          <w:u w:val="single"/>
          <w:lang w:eastAsia="cs-CZ"/>
        </w:rPr>
        <w:t xml:space="preserve">k realizaci přeložky předizolované potrubí </w:t>
      </w:r>
      <w:r w:rsidRPr="005442F2">
        <w:rPr>
          <w:rFonts w:cstheme="minorHAnsi"/>
          <w:b/>
          <w:bCs/>
          <w:u w:val="single"/>
        </w:rPr>
        <w:t>firmy LOGSTOR ROR</w:t>
      </w:r>
      <w:r w:rsidRPr="005442F2">
        <w:rPr>
          <w:rFonts w:cstheme="minorHAnsi"/>
          <w:b/>
          <w:bCs/>
          <w:u w:val="single"/>
          <w:lang w:eastAsia="cs-CZ"/>
        </w:rPr>
        <w:t xml:space="preserve"> .</w:t>
      </w:r>
    </w:p>
    <w:p w14:paraId="195F5CC6" w14:textId="7DDA84F8" w:rsidR="002471E9" w:rsidRPr="005442F2" w:rsidRDefault="00E72822" w:rsidP="005442F2">
      <w:pPr>
        <w:pStyle w:val="Podnadpis"/>
        <w:spacing w:line="240" w:lineRule="auto"/>
        <w:rPr>
          <w:rFonts w:asciiTheme="minorHAnsi" w:hAnsiTheme="minorHAnsi" w:cstheme="minorHAnsi"/>
        </w:rPr>
      </w:pPr>
      <w:r w:rsidRPr="005442F2">
        <w:rPr>
          <w:rFonts w:asciiTheme="minorHAnsi" w:hAnsiTheme="minorHAnsi" w:cstheme="minorHAnsi"/>
        </w:rPr>
        <w:t>Požadavky</w:t>
      </w:r>
      <w:r w:rsidR="002471E9" w:rsidRPr="005442F2">
        <w:rPr>
          <w:rFonts w:asciiTheme="minorHAnsi" w:hAnsiTheme="minorHAnsi" w:cstheme="minorHAnsi"/>
        </w:rPr>
        <w:t xml:space="preserve"> technických a technologických zařízení</w:t>
      </w:r>
    </w:p>
    <w:p w14:paraId="7A76E4E1" w14:textId="77777777" w:rsidR="00E73AF5" w:rsidRPr="005442F2" w:rsidRDefault="00E73AF5" w:rsidP="005442F2">
      <w:pPr>
        <w:pStyle w:val="Podnadpis"/>
        <w:spacing w:line="240" w:lineRule="auto"/>
        <w:rPr>
          <w:rFonts w:asciiTheme="minorHAnsi" w:eastAsia="Times New Roman" w:hAnsiTheme="minorHAnsi" w:cstheme="minorHAnsi"/>
          <w:u w:val="single"/>
          <w:lang w:eastAsia="cs-CZ"/>
        </w:rPr>
      </w:pPr>
      <w:r w:rsidRPr="005442F2">
        <w:rPr>
          <w:rFonts w:asciiTheme="minorHAnsi" w:eastAsia="Times New Roman" w:hAnsiTheme="minorHAnsi" w:cstheme="minorHAnsi"/>
          <w:u w:val="single"/>
          <w:lang w:eastAsia="cs-CZ"/>
        </w:rPr>
        <w:t>Předizolovaná trubka LR pro podzemní vedení se skládá:</w:t>
      </w:r>
    </w:p>
    <w:p w14:paraId="3E377A7C" w14:textId="77777777" w:rsidR="00E73AF5" w:rsidRPr="005442F2" w:rsidRDefault="00E73AF5" w:rsidP="005442F2">
      <w:pPr>
        <w:pStyle w:val="Bezmezer"/>
        <w:numPr>
          <w:ilvl w:val="0"/>
          <w:numId w:val="44"/>
        </w:numPr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Teplonosná trubka dle P235GH, P235TR1, P235TR2 nebo St37.0BW dle ČSN EN 253:2009+A1:2013 v platném znění</w:t>
      </w:r>
    </w:p>
    <w:p w14:paraId="7162AC81" w14:textId="77777777" w:rsidR="00E73AF5" w:rsidRPr="005442F2" w:rsidRDefault="00E73AF5" w:rsidP="005442F2">
      <w:pPr>
        <w:pStyle w:val="Bezmezer"/>
        <w:numPr>
          <w:ilvl w:val="0"/>
          <w:numId w:val="44"/>
        </w:numPr>
        <w:rPr>
          <w:rFonts w:cstheme="minorHAnsi"/>
        </w:rPr>
      </w:pPr>
      <w:r w:rsidRPr="005442F2">
        <w:rPr>
          <w:rFonts w:cstheme="minorHAnsi"/>
        </w:rPr>
        <w:t>izolace - polyuretanová pěna</w:t>
      </w:r>
    </w:p>
    <w:p w14:paraId="7180B950" w14:textId="77777777" w:rsidR="00E73AF5" w:rsidRPr="005442F2" w:rsidRDefault="00E73AF5" w:rsidP="005442F2">
      <w:pPr>
        <w:pStyle w:val="Bezmezer"/>
        <w:numPr>
          <w:ilvl w:val="0"/>
          <w:numId w:val="44"/>
        </w:numPr>
        <w:rPr>
          <w:rFonts w:cstheme="minorHAnsi"/>
        </w:rPr>
      </w:pPr>
      <w:r w:rsidRPr="005442F2">
        <w:rPr>
          <w:rFonts w:cstheme="minorHAnsi"/>
        </w:rPr>
        <w:t>vnější plášť polyetylénu PEHD (polyetylene high density)</w:t>
      </w:r>
    </w:p>
    <w:p w14:paraId="725213FE" w14:textId="77777777" w:rsidR="00E73AF5" w:rsidRPr="005442F2" w:rsidRDefault="00E73AF5" w:rsidP="005442F2">
      <w:pPr>
        <w:pStyle w:val="Bezmezer"/>
        <w:numPr>
          <w:ilvl w:val="0"/>
          <w:numId w:val="44"/>
        </w:numPr>
        <w:rPr>
          <w:rFonts w:cstheme="minorHAnsi"/>
        </w:rPr>
      </w:pPr>
      <w:r w:rsidRPr="005442F2">
        <w:rPr>
          <w:rFonts w:cstheme="minorHAnsi"/>
        </w:rPr>
        <w:t>dva měděné vodiče alarm systému</w:t>
      </w:r>
    </w:p>
    <w:p w14:paraId="51D5E0B2" w14:textId="77777777" w:rsidR="00E73AF5" w:rsidRPr="005442F2" w:rsidRDefault="00E73AF5" w:rsidP="005442F2">
      <w:pPr>
        <w:pStyle w:val="Bezmezer"/>
        <w:numPr>
          <w:ilvl w:val="0"/>
          <w:numId w:val="44"/>
        </w:numPr>
        <w:rPr>
          <w:rFonts w:cstheme="minorHAnsi"/>
        </w:rPr>
      </w:pPr>
      <w:r w:rsidRPr="005442F2">
        <w:rPr>
          <w:rFonts w:cstheme="minorHAnsi"/>
        </w:rPr>
        <w:t>informační štítek</w:t>
      </w:r>
    </w:p>
    <w:p w14:paraId="1519FC63" w14:textId="77777777" w:rsidR="00E73AF5" w:rsidRPr="005442F2" w:rsidRDefault="00E73AF5" w:rsidP="005442F2">
      <w:pPr>
        <w:spacing w:line="240" w:lineRule="auto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Sdružený systém dle ČSN EN 253:2009+A1:2013 Vedení vodních tepelných sítí. Předizolované trubní systémy pro bezkanálové vedení vodních tepelných sítí, ČSN EN 448:2009 (tvarovky),  488:2011 (armatury) a ČSN EN 489:2009 (spojky)</w:t>
      </w:r>
    </w:p>
    <w:p w14:paraId="20F40EC6" w14:textId="77777777" w:rsidR="00E73AF5" w:rsidRPr="005442F2" w:rsidRDefault="00E73AF5" w:rsidP="005442F2">
      <w:pPr>
        <w:pStyle w:val="Podnadpis"/>
        <w:spacing w:line="240" w:lineRule="auto"/>
        <w:rPr>
          <w:rFonts w:asciiTheme="minorHAnsi" w:eastAsia="Times New Roman" w:hAnsiTheme="minorHAnsi" w:cstheme="minorHAnsi"/>
          <w:u w:val="single"/>
          <w:lang w:eastAsia="cs-CZ"/>
        </w:rPr>
      </w:pPr>
      <w:r w:rsidRPr="005442F2">
        <w:rPr>
          <w:rFonts w:asciiTheme="minorHAnsi" w:eastAsia="Times New Roman" w:hAnsiTheme="minorHAnsi" w:cstheme="minorHAnsi"/>
          <w:u w:val="single"/>
          <w:lang w:eastAsia="cs-CZ"/>
        </w:rPr>
        <w:t>OCELOVÉ TRUBKY</w:t>
      </w:r>
    </w:p>
    <w:p w14:paraId="4DE78D3B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Rozměry a tolerance: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dle ISO 4200</w:t>
      </w:r>
    </w:p>
    <w:p w14:paraId="4721FF54" w14:textId="77777777" w:rsidR="00E73AF5" w:rsidRPr="005442F2" w:rsidRDefault="00E73AF5" w:rsidP="005442F2">
      <w:pPr>
        <w:pStyle w:val="Bezmezer"/>
        <w:ind w:left="2832" w:hanging="2832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Standardní trubky:</w:t>
      </w:r>
      <w:r w:rsidRPr="005442F2">
        <w:rPr>
          <w:rFonts w:cstheme="minorHAnsi"/>
          <w:lang w:eastAsia="cs-CZ"/>
        </w:rPr>
        <w:tab/>
        <w:t>podélně nebo spirálově svařované P235TR1, P235TR2 podle EN 10217-1, nebo P235GH podle EN 10217-2 nebo EN 10217-5</w:t>
      </w:r>
    </w:p>
    <w:p w14:paraId="7E4D0CC2" w14:textId="77777777" w:rsidR="00E73AF5" w:rsidRPr="005442F2" w:rsidRDefault="00E73AF5" w:rsidP="005442F2">
      <w:pPr>
        <w:pStyle w:val="Bezmezer"/>
        <w:rPr>
          <w:rFonts w:cstheme="minorHAnsi"/>
          <w:vertAlign w:val="superscript"/>
          <w:lang w:eastAsia="cs-CZ"/>
        </w:rPr>
      </w:pPr>
      <w:r w:rsidRPr="005442F2">
        <w:rPr>
          <w:rFonts w:cstheme="minorHAnsi"/>
          <w:lang w:eastAsia="cs-CZ"/>
        </w:rPr>
        <w:t>Napětí na mezi kluzu: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min. 235 N/mm</w:t>
      </w:r>
      <w:r w:rsidRPr="005442F2">
        <w:rPr>
          <w:rFonts w:cstheme="minorHAnsi"/>
          <w:vertAlign w:val="superscript"/>
          <w:lang w:eastAsia="cs-CZ"/>
        </w:rPr>
        <w:t>2</w:t>
      </w:r>
    </w:p>
    <w:p w14:paraId="6CEF671C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Napětí na mezi pevnosti:</w:t>
      </w:r>
      <w:r w:rsidRPr="005442F2">
        <w:rPr>
          <w:rFonts w:cstheme="minorHAnsi"/>
          <w:lang w:eastAsia="cs-CZ"/>
        </w:rPr>
        <w:tab/>
        <w:t>360 – 500 N/mm</w:t>
      </w:r>
      <w:r w:rsidRPr="005442F2">
        <w:rPr>
          <w:rFonts w:cstheme="minorHAnsi"/>
          <w:vertAlign w:val="superscript"/>
          <w:lang w:eastAsia="cs-CZ"/>
        </w:rPr>
        <w:t>2</w:t>
      </w:r>
    </w:p>
    <w:p w14:paraId="37538818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Prodloužení do lomu: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min. 23%</w:t>
      </w:r>
    </w:p>
    <w:p w14:paraId="1A98E25A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Součinitel svaru: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V=1,0</w:t>
      </w:r>
    </w:p>
    <w:p w14:paraId="7630642B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bookmarkStart w:id="3" w:name="OLE_LINK1"/>
      <w:bookmarkStart w:id="4" w:name="OLE_LINK2"/>
      <w:r w:rsidRPr="005442F2">
        <w:rPr>
          <w:rFonts w:cstheme="minorHAnsi"/>
          <w:lang w:eastAsia="cs-CZ"/>
        </w:rPr>
        <w:t>Inspekční certifikát: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 xml:space="preserve">EN 10204 - 3.1 </w:t>
      </w:r>
    </w:p>
    <w:p w14:paraId="397FBEC8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Úkosové svary: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EN ISO 9692-1</w:t>
      </w:r>
    </w:p>
    <w:p w14:paraId="74C6CD8E" w14:textId="77777777" w:rsidR="00E73AF5" w:rsidRPr="005442F2" w:rsidRDefault="00E73AF5" w:rsidP="005442F2">
      <w:pPr>
        <w:pStyle w:val="Bezmezer"/>
        <w:ind w:left="2832" w:hanging="2832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Kvalita povrchu:</w:t>
      </w:r>
      <w:r w:rsidRPr="005442F2">
        <w:rPr>
          <w:rFonts w:cstheme="minorHAnsi"/>
          <w:lang w:eastAsia="cs-CZ"/>
        </w:rPr>
        <w:tab/>
        <w:t>všechny trubky odstředivě čištěny ocelovým pískem, aby se zajistila optimální přilnavost mezi trubkou a izolací</w:t>
      </w:r>
    </w:p>
    <w:bookmarkEnd w:id="3"/>
    <w:bookmarkEnd w:id="4"/>
    <w:p w14:paraId="09C8A4B2" w14:textId="77777777" w:rsidR="00E73AF5" w:rsidRPr="005442F2" w:rsidRDefault="00E73AF5" w:rsidP="005442F2">
      <w:pPr>
        <w:pStyle w:val="Podnadpis"/>
        <w:spacing w:line="240" w:lineRule="auto"/>
        <w:rPr>
          <w:rFonts w:asciiTheme="minorHAnsi" w:eastAsia="Times New Roman" w:hAnsiTheme="minorHAnsi" w:cstheme="minorHAnsi"/>
          <w:u w:val="single"/>
          <w:lang w:eastAsia="cs-CZ"/>
        </w:rPr>
      </w:pPr>
      <w:r w:rsidRPr="005442F2">
        <w:rPr>
          <w:rFonts w:asciiTheme="minorHAnsi" w:eastAsia="Times New Roman" w:hAnsiTheme="minorHAnsi" w:cstheme="minorHAnsi"/>
          <w:u w:val="single"/>
          <w:lang w:eastAsia="cs-CZ"/>
        </w:rPr>
        <w:t>IZOLACE</w:t>
      </w:r>
    </w:p>
    <w:p w14:paraId="7162E78D" w14:textId="6674DDD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Polyuretanová pěna:</w:t>
      </w:r>
      <w:r w:rsidRPr="005442F2">
        <w:rPr>
          <w:rFonts w:cstheme="minorHAnsi"/>
          <w:lang w:eastAsia="cs-CZ"/>
        </w:rPr>
        <w:tab/>
        <w:t xml:space="preserve"> </w:t>
      </w:r>
      <w:r w:rsidRPr="005442F2">
        <w:rPr>
          <w:rFonts w:cstheme="minorHAnsi"/>
          <w:lang w:eastAsia="cs-CZ"/>
        </w:rPr>
        <w:tab/>
        <w:t xml:space="preserve">vlastnosti minimálně v souladu ČSN EN 253 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:2009</w:t>
      </w:r>
      <w:r w:rsidR="00CF255F">
        <w:rPr>
          <w:rFonts w:cstheme="minorHAnsi"/>
          <w:lang w:eastAsia="cs-CZ"/>
        </w:rPr>
        <w:t xml:space="preserve"> </w:t>
      </w:r>
      <w:r w:rsidRPr="005442F2">
        <w:rPr>
          <w:rFonts w:cstheme="minorHAnsi"/>
          <w:lang w:eastAsia="cs-CZ"/>
        </w:rPr>
        <w:t>+A1:2013</w:t>
      </w:r>
    </w:p>
    <w:p w14:paraId="7A59F079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Vypočtená trvalá provozní teplota ≥ 140 °C pro 30 let</w:t>
      </w:r>
    </w:p>
    <w:p w14:paraId="676B53A8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Max. krátkodobá pracovní teplota 150 °C</w:t>
      </w:r>
    </w:p>
    <w:p w14:paraId="1B753E0F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Nadouvadlo: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cyklopentan</w:t>
      </w:r>
    </w:p>
    <w:p w14:paraId="7BDA79BF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Tepelná vodivost: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tradičně vyráběné trubky (50°C): max. 0,028 W/m K</w:t>
      </w:r>
    </w:p>
    <w:p w14:paraId="077D8C5A" w14:textId="77777777" w:rsidR="00E73AF5" w:rsidRPr="005442F2" w:rsidRDefault="00E73AF5" w:rsidP="005442F2">
      <w:pPr>
        <w:spacing w:after="0" w:line="240" w:lineRule="auto"/>
        <w:ind w:left="2836" w:firstLine="709"/>
        <w:rPr>
          <w:rFonts w:eastAsia="Times New Roman" w:cstheme="minorHAnsi"/>
          <w:sz w:val="24"/>
          <w:szCs w:val="24"/>
          <w:lang w:eastAsia="cs-CZ"/>
        </w:rPr>
      </w:pPr>
      <w:r w:rsidRPr="005442F2">
        <w:rPr>
          <w:rFonts w:eastAsia="Times New Roman" w:cstheme="minorHAnsi"/>
          <w:sz w:val="24"/>
          <w:szCs w:val="24"/>
          <w:lang w:eastAsia="cs-CZ"/>
        </w:rPr>
        <w:tab/>
      </w:r>
    </w:p>
    <w:p w14:paraId="767E04D3" w14:textId="77777777" w:rsidR="00E73AF5" w:rsidRPr="005442F2" w:rsidRDefault="00E73AF5" w:rsidP="005442F2">
      <w:pPr>
        <w:pStyle w:val="Podnadpis"/>
        <w:spacing w:line="240" w:lineRule="auto"/>
        <w:rPr>
          <w:rFonts w:asciiTheme="minorHAnsi" w:eastAsia="Times New Roman" w:hAnsiTheme="minorHAnsi" w:cstheme="minorHAnsi"/>
          <w:u w:val="single"/>
          <w:lang w:eastAsia="cs-CZ"/>
        </w:rPr>
      </w:pPr>
      <w:r w:rsidRPr="005442F2">
        <w:rPr>
          <w:rFonts w:asciiTheme="minorHAnsi" w:eastAsia="Times New Roman" w:hAnsiTheme="minorHAnsi" w:cstheme="minorHAnsi"/>
          <w:u w:val="single"/>
          <w:lang w:eastAsia="cs-CZ"/>
        </w:rPr>
        <w:t>VNĚJŠÍ PLÁŠŤ</w:t>
      </w:r>
    </w:p>
    <w:p w14:paraId="5B8C1254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Polyetylén: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HDPE, bimodální (minimálně PE 80, ISO 12162)</w:t>
      </w:r>
    </w:p>
    <w:p w14:paraId="27A80E23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Vlastnosti: minimálně v souladu s ČSN EN 253:2009+A1:2013</w:t>
      </w:r>
    </w:p>
    <w:p w14:paraId="75332496" w14:textId="77777777" w:rsidR="00E73AF5" w:rsidRPr="005442F2" w:rsidRDefault="00E73AF5" w:rsidP="005442F2">
      <w:pPr>
        <w:pStyle w:val="Bezmezer"/>
        <w:ind w:left="2832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Všechny části jsou plně svařitelné v následujícím rozsahu indexu toku taveniny: odchylka MFR ≤ 0,5 g/10min.</w:t>
      </w:r>
    </w:p>
    <w:p w14:paraId="460F8075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Teplotní stabilita:</w:t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vypočtená trvalá provozní teplota ≥ 50°C po dobu 30 let</w:t>
      </w:r>
    </w:p>
    <w:p w14:paraId="5BBFECFB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lastRenderedPageBreak/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</w:r>
      <w:r w:rsidRPr="005442F2">
        <w:rPr>
          <w:rFonts w:cstheme="minorHAnsi"/>
          <w:lang w:eastAsia="cs-CZ"/>
        </w:rPr>
        <w:tab/>
        <w:t>Čas počátku oxidace: &gt; 30 min při 210°C</w:t>
      </w:r>
    </w:p>
    <w:p w14:paraId="6CF34946" w14:textId="77777777" w:rsidR="00E73AF5" w:rsidRPr="005442F2" w:rsidRDefault="00E73AF5" w:rsidP="005442F2">
      <w:pPr>
        <w:pStyle w:val="Bezmezer"/>
        <w:ind w:left="2832" w:hanging="2832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Odolnost proti tvorbě trhlin:</w:t>
      </w:r>
      <w:r w:rsidRPr="005442F2">
        <w:rPr>
          <w:rFonts w:cstheme="minorHAnsi"/>
          <w:lang w:eastAsia="cs-CZ"/>
        </w:rPr>
        <w:tab/>
        <w:t>pomalá tvorba trhliny (vrubová citlivost) &gt; 2000 h (vrub, 4 MPa, 80°C, ČSN EN 253:2009+A1:2013)</w:t>
      </w:r>
    </w:p>
    <w:p w14:paraId="4C4EF871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ab/>
      </w:r>
    </w:p>
    <w:p w14:paraId="0C9DE431" w14:textId="77777777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Rychlé šíření trhliny, citlivost vůči chladu &gt; 5 bar (0°C)</w:t>
      </w:r>
    </w:p>
    <w:p w14:paraId="2047D6D0" w14:textId="4DEFB904" w:rsidR="00E73AF5" w:rsidRPr="005442F2" w:rsidRDefault="00E73AF5" w:rsidP="005442F2">
      <w:pPr>
        <w:pStyle w:val="Bezmezer"/>
        <w:rPr>
          <w:rFonts w:cstheme="minorHAnsi"/>
          <w:lang w:eastAsia="cs-CZ"/>
        </w:rPr>
      </w:pPr>
      <w:r w:rsidRPr="005442F2">
        <w:rPr>
          <w:rFonts w:cstheme="minorHAnsi"/>
          <w:lang w:eastAsia="cs-CZ"/>
        </w:rPr>
        <w:t>Úprava vnitřního povrchu:</w:t>
      </w:r>
      <w:r w:rsidRPr="005442F2">
        <w:rPr>
          <w:rFonts w:cstheme="minorHAnsi"/>
          <w:lang w:eastAsia="cs-CZ"/>
        </w:rPr>
        <w:tab/>
        <w:t>celý vnější plášť během výroby ojiskřen elektrickým výbojem. To zaručuje optimální přilnavost mezi vnějším pláštěm a izolací.</w:t>
      </w:r>
    </w:p>
    <w:p w14:paraId="07D90DD5" w14:textId="44A49F44" w:rsidR="00CF255F" w:rsidRDefault="00CF255F" w:rsidP="005442F2">
      <w:pPr>
        <w:pStyle w:val="Bezmezer"/>
        <w:rPr>
          <w:rFonts w:cstheme="minorHAnsi"/>
          <w:b/>
          <w:bCs/>
          <w:u w:val="single"/>
          <w:lang w:eastAsia="cs-CZ"/>
        </w:rPr>
      </w:pPr>
      <w:r>
        <w:rPr>
          <w:rFonts w:cstheme="minorHAnsi"/>
          <w:b/>
          <w:bCs/>
          <w:u w:val="single"/>
          <w:lang w:eastAsia="cs-CZ"/>
        </w:rPr>
        <w:t>Nepožadujeme napojení přípojky na systém sledování úniku vody</w:t>
      </w:r>
      <w:r w:rsidR="00A002B6">
        <w:rPr>
          <w:rFonts w:cstheme="minorHAnsi"/>
          <w:b/>
          <w:bCs/>
          <w:u w:val="single"/>
          <w:lang w:eastAsia="cs-CZ"/>
        </w:rPr>
        <w:t>.</w:t>
      </w:r>
    </w:p>
    <w:p w14:paraId="7A7EBEC7" w14:textId="77777777" w:rsidR="00A002B6" w:rsidRPr="005442F2" w:rsidRDefault="00A002B6" w:rsidP="005442F2">
      <w:pPr>
        <w:pStyle w:val="Bezmezer"/>
        <w:rPr>
          <w:rFonts w:cstheme="minorHAnsi"/>
          <w:b/>
          <w:bCs/>
          <w:u w:val="single"/>
          <w:lang w:eastAsia="cs-CZ"/>
        </w:rPr>
      </w:pPr>
    </w:p>
    <w:p w14:paraId="2F08A76A" w14:textId="77777777" w:rsidR="00652399" w:rsidRPr="005442F2" w:rsidRDefault="00652399" w:rsidP="005442F2">
      <w:pPr>
        <w:pStyle w:val="Nadpis1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bookmarkStart w:id="5" w:name="_Toc128393474"/>
      <w:r w:rsidRPr="005442F2">
        <w:rPr>
          <w:rFonts w:asciiTheme="minorHAnsi" w:hAnsiTheme="minorHAnsi" w:cstheme="minorHAnsi"/>
        </w:rPr>
        <w:t>Připojení na technickou infrastrukturu</w:t>
      </w:r>
      <w:bookmarkEnd w:id="5"/>
    </w:p>
    <w:p w14:paraId="1B807CC6" w14:textId="77777777" w:rsidR="00652399" w:rsidRPr="005442F2" w:rsidRDefault="00652399" w:rsidP="005442F2">
      <w:pPr>
        <w:pStyle w:val="Nadpis2"/>
        <w:tabs>
          <w:tab w:val="clear" w:pos="993"/>
        </w:tabs>
        <w:rPr>
          <w:rFonts w:asciiTheme="minorHAnsi" w:hAnsiTheme="minorHAnsi" w:cstheme="minorHAnsi"/>
          <w:lang w:eastAsia="en-US"/>
        </w:rPr>
      </w:pPr>
      <w:bookmarkStart w:id="6" w:name="_Toc128393475"/>
      <w:r w:rsidRPr="005442F2">
        <w:rPr>
          <w:rFonts w:asciiTheme="minorHAnsi" w:hAnsiTheme="minorHAnsi" w:cstheme="minorHAnsi"/>
          <w:lang w:eastAsia="en-US"/>
        </w:rPr>
        <w:t>Připojovací rozměry, výkonové kapacity a délky</w:t>
      </w:r>
      <w:bookmarkEnd w:id="6"/>
    </w:p>
    <w:p w14:paraId="6FA88DCF" w14:textId="77777777" w:rsidR="0066305E" w:rsidRPr="005442F2" w:rsidRDefault="0051607F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Potrubí bude napojeno na stávající přípojku DN 100/200. Hranice dodávky začíná </w:t>
      </w:r>
      <w:r w:rsidR="0066305E" w:rsidRPr="005442F2">
        <w:rPr>
          <w:rFonts w:cstheme="minorHAnsi"/>
        </w:rPr>
        <w:t xml:space="preserve">v šachtě Š1 odbočkou DN 65/140 s kulovými navařovacími ventily DH 65, pokračovat bude </w:t>
      </w:r>
      <w:r w:rsidRPr="005442F2">
        <w:rPr>
          <w:rFonts w:cstheme="minorHAnsi"/>
        </w:rPr>
        <w:t>redukcí DN</w:t>
      </w:r>
      <w:r w:rsidR="0066305E" w:rsidRPr="005442F2">
        <w:rPr>
          <w:rFonts w:cstheme="minorHAnsi"/>
        </w:rPr>
        <w:t>65</w:t>
      </w:r>
      <w:r w:rsidRPr="005442F2">
        <w:rPr>
          <w:rFonts w:cstheme="minorHAnsi"/>
        </w:rPr>
        <w:t>/</w:t>
      </w:r>
      <w:r w:rsidR="0066305E" w:rsidRPr="005442F2">
        <w:rPr>
          <w:rFonts w:cstheme="minorHAnsi"/>
        </w:rPr>
        <w:t>xx</w:t>
      </w:r>
      <w:r w:rsidRPr="005442F2">
        <w:rPr>
          <w:rFonts w:cstheme="minorHAnsi"/>
        </w:rPr>
        <w:t>. Poté budou na potrubí umístěny sekční uzávěry KK80. Dále bude potrubí vedeno v potrubí DN</w:t>
      </w:r>
      <w:r w:rsidR="0066305E" w:rsidRPr="005442F2">
        <w:rPr>
          <w:rFonts w:cstheme="minorHAnsi"/>
        </w:rPr>
        <w:t>xx</w:t>
      </w:r>
      <w:r w:rsidRPr="005442F2">
        <w:rPr>
          <w:rFonts w:cstheme="minorHAnsi"/>
        </w:rPr>
        <w:t>.</w:t>
      </w:r>
    </w:p>
    <w:p w14:paraId="06ECF681" w14:textId="77777777" w:rsidR="0066305E" w:rsidRPr="005442F2" w:rsidRDefault="0066305E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 xml:space="preserve">Dispozice odbočky v šachtě Š1 je na výkrese šachty Š1. </w:t>
      </w:r>
    </w:p>
    <w:p w14:paraId="00BE6BBE" w14:textId="74F562BD" w:rsidR="00FE5120" w:rsidRDefault="00CF255F" w:rsidP="005442F2">
      <w:pPr>
        <w:spacing w:line="240" w:lineRule="auto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UPOZORNĚNÍ: </w:t>
      </w:r>
      <w:r w:rsidR="0066305E" w:rsidRPr="005442F2">
        <w:rPr>
          <w:rFonts w:cstheme="minorHAnsi"/>
          <w:b/>
          <w:bCs/>
          <w:u w:val="single"/>
        </w:rPr>
        <w:t>Nejedná se o výkresovou dokumentaci skutečného provedení, pro návrh napojení je nutno prověřit skutečné provedení, zejména pro stanovení dostačeného spádu a případného odvzdušnění přípojky.</w:t>
      </w:r>
      <w:r>
        <w:rPr>
          <w:rFonts w:cstheme="minorHAnsi"/>
          <w:b/>
          <w:bCs/>
          <w:u w:val="single"/>
        </w:rPr>
        <w:t xml:space="preserve"> Jakékoliv úpravy v šachtě Š1 podléhají schválení společností TEPLO Kopřivnice s.r.o.</w:t>
      </w:r>
      <w:r w:rsidR="00FE2F1C">
        <w:rPr>
          <w:rFonts w:cstheme="minorHAnsi"/>
          <w:b/>
          <w:bCs/>
          <w:u w:val="single"/>
        </w:rPr>
        <w:t xml:space="preserve"> </w:t>
      </w:r>
      <w:r w:rsidR="0066305E" w:rsidRPr="005442F2">
        <w:rPr>
          <w:rFonts w:cstheme="minorHAnsi"/>
          <w:b/>
          <w:bCs/>
          <w:u w:val="single"/>
        </w:rPr>
        <w:t xml:space="preserve">Konečný návrh přípojky je třeba prověřit </w:t>
      </w:r>
      <w:r w:rsidR="00FE5120" w:rsidRPr="005442F2">
        <w:rPr>
          <w:rFonts w:cstheme="minorHAnsi"/>
          <w:b/>
          <w:bCs/>
          <w:u w:val="single"/>
        </w:rPr>
        <w:t>kontrolou výšky krytí porubí a kontrolou dil</w:t>
      </w:r>
      <w:r w:rsidR="00A002B6">
        <w:rPr>
          <w:rFonts w:cstheme="minorHAnsi"/>
          <w:b/>
          <w:bCs/>
          <w:u w:val="single"/>
        </w:rPr>
        <w:t>a</w:t>
      </w:r>
      <w:r w:rsidR="00FE5120" w:rsidRPr="005442F2">
        <w:rPr>
          <w:rFonts w:cstheme="minorHAnsi"/>
          <w:b/>
          <w:bCs/>
          <w:u w:val="single"/>
        </w:rPr>
        <w:t>tace potrubí v souladu s předpisy výrobce potrubí.</w:t>
      </w:r>
    </w:p>
    <w:p w14:paraId="0980C454" w14:textId="77777777" w:rsidR="00FE2F1C" w:rsidRDefault="00FE2F1C" w:rsidP="005442F2">
      <w:pPr>
        <w:spacing w:line="240" w:lineRule="auto"/>
        <w:rPr>
          <w:rFonts w:cstheme="minorHAnsi"/>
          <w:b/>
          <w:bCs/>
          <w:u w:val="single"/>
        </w:rPr>
      </w:pPr>
    </w:p>
    <w:p w14:paraId="526232CB" w14:textId="21217F5E" w:rsidR="0066305E" w:rsidRPr="005442F2" w:rsidRDefault="00FE5120" w:rsidP="005442F2">
      <w:pPr>
        <w:pStyle w:val="Nadpis1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bookmarkStart w:id="7" w:name="_Toc128393476"/>
      <w:r w:rsidRPr="005442F2">
        <w:rPr>
          <w:rFonts w:asciiTheme="minorHAnsi" w:hAnsiTheme="minorHAnsi" w:cstheme="minorHAnsi"/>
        </w:rPr>
        <w:t>Požadované kontroly</w:t>
      </w:r>
      <w:bookmarkEnd w:id="7"/>
    </w:p>
    <w:p w14:paraId="64F09DBB" w14:textId="77777777" w:rsidR="005442F2" w:rsidRPr="005442F2" w:rsidRDefault="005442F2" w:rsidP="005442F2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>Rozsah požadovaných kontrol je uveden v příloze.</w:t>
      </w:r>
    </w:p>
    <w:p w14:paraId="4364E25C" w14:textId="1CF25C8C" w:rsidR="00FE2F1C" w:rsidRDefault="005442F2" w:rsidP="00FE2F1C">
      <w:pPr>
        <w:spacing w:line="240" w:lineRule="auto"/>
        <w:rPr>
          <w:rFonts w:cstheme="minorHAnsi"/>
        </w:rPr>
      </w:pPr>
      <w:r w:rsidRPr="005442F2">
        <w:rPr>
          <w:rFonts w:cstheme="minorHAnsi"/>
        </w:rPr>
        <w:t>Plán kontrol je možno upravit, jeho případn</w:t>
      </w:r>
      <w:r w:rsidR="00FA669F">
        <w:rPr>
          <w:rFonts w:cstheme="minorHAnsi"/>
        </w:rPr>
        <w:t>á</w:t>
      </w:r>
      <w:r w:rsidRPr="005442F2">
        <w:rPr>
          <w:rFonts w:cstheme="minorHAnsi"/>
        </w:rPr>
        <w:t xml:space="preserve"> úprava podléh</w:t>
      </w:r>
      <w:r w:rsidR="00FA669F">
        <w:rPr>
          <w:rFonts w:cstheme="minorHAnsi"/>
        </w:rPr>
        <w:t>á</w:t>
      </w:r>
      <w:r w:rsidRPr="005442F2">
        <w:rPr>
          <w:rFonts w:cstheme="minorHAnsi"/>
        </w:rPr>
        <w:t xml:space="preserve"> odsouhlasení společností </w:t>
      </w:r>
      <w:bookmarkStart w:id="8" w:name="_Hlk127173802"/>
      <w:r w:rsidRPr="005442F2">
        <w:rPr>
          <w:rFonts w:cstheme="minorHAnsi"/>
        </w:rPr>
        <w:t>TEPLO Kopřivnice s.r.o.</w:t>
      </w:r>
      <w:bookmarkEnd w:id="8"/>
      <w:r w:rsidRPr="005442F2">
        <w:rPr>
          <w:rFonts w:cstheme="minorHAnsi"/>
        </w:rPr>
        <w:t xml:space="preserve"> </w:t>
      </w:r>
    </w:p>
    <w:p w14:paraId="18D52820" w14:textId="6AA59496" w:rsidR="00FE2F1C" w:rsidRDefault="00FE2F1C" w:rsidP="00FE2F1C">
      <w:pPr>
        <w:spacing w:line="240" w:lineRule="auto"/>
        <w:ind w:firstLine="0"/>
        <w:rPr>
          <w:rFonts w:cstheme="minorHAnsi"/>
        </w:rPr>
      </w:pPr>
    </w:p>
    <w:p w14:paraId="0AD5EA0E" w14:textId="3881E599" w:rsidR="00FE2F1C" w:rsidRPr="005442F2" w:rsidRDefault="00FE2F1C" w:rsidP="00FE2F1C">
      <w:pPr>
        <w:pStyle w:val="Nadpis1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bookmarkStart w:id="9" w:name="_Toc128393477"/>
      <w:r w:rsidRPr="005442F2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ředávací dokumentace</w:t>
      </w:r>
      <w:bookmarkEnd w:id="9"/>
    </w:p>
    <w:p w14:paraId="6D4234CD" w14:textId="0F089120" w:rsidR="00FE2F1C" w:rsidRDefault="00FE2F1C" w:rsidP="00FE2F1C">
      <w:pPr>
        <w:spacing w:line="240" w:lineRule="auto"/>
        <w:ind w:firstLine="0"/>
        <w:rPr>
          <w:rFonts w:cstheme="minorHAnsi"/>
        </w:rPr>
      </w:pPr>
      <w:r>
        <w:rPr>
          <w:rFonts w:cstheme="minorHAnsi"/>
        </w:rPr>
        <w:t>Při předání přípojky do užívání požadujeme předložit:</w:t>
      </w:r>
    </w:p>
    <w:p w14:paraId="56B42043" w14:textId="7EC5FF7F" w:rsidR="00FE2F1C" w:rsidRDefault="00FE2F1C" w:rsidP="00FE2F1C">
      <w:pPr>
        <w:pStyle w:val="Odstavecseseznamem"/>
        <w:numPr>
          <w:ilvl w:val="0"/>
          <w:numId w:val="45"/>
        </w:numPr>
        <w:spacing w:line="240" w:lineRule="auto"/>
        <w:rPr>
          <w:rFonts w:cstheme="minorHAnsi"/>
        </w:rPr>
      </w:pPr>
      <w:r>
        <w:rPr>
          <w:rFonts w:cstheme="minorHAnsi"/>
        </w:rPr>
        <w:t>Dokumentaci skutečného provedení</w:t>
      </w:r>
    </w:p>
    <w:p w14:paraId="0CE7A31A" w14:textId="335BED63" w:rsidR="00FE2F1C" w:rsidRDefault="00FE2F1C" w:rsidP="00FE2F1C">
      <w:pPr>
        <w:pStyle w:val="Odstavecseseznamem"/>
        <w:numPr>
          <w:ilvl w:val="0"/>
          <w:numId w:val="45"/>
        </w:numPr>
        <w:spacing w:line="240" w:lineRule="auto"/>
        <w:rPr>
          <w:rFonts w:cstheme="minorHAnsi"/>
        </w:rPr>
      </w:pPr>
      <w:r>
        <w:rPr>
          <w:rFonts w:cstheme="minorHAnsi"/>
        </w:rPr>
        <w:t>Geodetické zaměření potrubí před zásypem</w:t>
      </w:r>
    </w:p>
    <w:p w14:paraId="68AEB10D" w14:textId="649072C2" w:rsidR="00FE2F1C" w:rsidRDefault="00FE2F1C" w:rsidP="00FE2F1C">
      <w:pPr>
        <w:pStyle w:val="Odstavecseseznamem"/>
        <w:numPr>
          <w:ilvl w:val="0"/>
          <w:numId w:val="45"/>
        </w:numPr>
        <w:spacing w:line="240" w:lineRule="auto"/>
        <w:rPr>
          <w:rFonts w:cstheme="minorHAnsi"/>
        </w:rPr>
      </w:pPr>
      <w:r>
        <w:rPr>
          <w:rFonts w:cstheme="minorHAnsi"/>
        </w:rPr>
        <w:t>Protokoly o provedených kontrolách, revizích a zkouškách</w:t>
      </w:r>
    </w:p>
    <w:p w14:paraId="47913A1A" w14:textId="436B8C40" w:rsidR="00FE2F1C" w:rsidRPr="00FE2F1C" w:rsidRDefault="00143450" w:rsidP="00FE2F1C">
      <w:pPr>
        <w:pStyle w:val="Odstavecseseznamem"/>
        <w:numPr>
          <w:ilvl w:val="0"/>
          <w:numId w:val="45"/>
        </w:numPr>
        <w:spacing w:line="240" w:lineRule="auto"/>
        <w:rPr>
          <w:rFonts w:cstheme="minorHAnsi"/>
        </w:rPr>
      </w:pPr>
      <w:r>
        <w:rPr>
          <w:rFonts w:cstheme="minorHAnsi"/>
        </w:rPr>
        <w:t>P</w:t>
      </w:r>
      <w:r w:rsidR="00FE2F1C" w:rsidRPr="00FE2F1C">
        <w:rPr>
          <w:rFonts w:cstheme="minorHAnsi"/>
        </w:rPr>
        <w:t xml:space="preserve">rohlášení o shodě od </w:t>
      </w:r>
      <w:r w:rsidR="00FE2F1C" w:rsidRPr="00FE2F1C">
        <w:rPr>
          <w:rFonts w:cstheme="minorHAnsi"/>
        </w:rPr>
        <w:t>všech použitých</w:t>
      </w:r>
      <w:r w:rsidR="00FE2F1C">
        <w:rPr>
          <w:rFonts w:cstheme="minorHAnsi"/>
        </w:rPr>
        <w:t xml:space="preserve"> </w:t>
      </w:r>
      <w:r w:rsidR="00FE2F1C" w:rsidRPr="00FE2F1C">
        <w:rPr>
          <w:rFonts w:cstheme="minorHAnsi"/>
        </w:rPr>
        <w:t>materiálů</w:t>
      </w:r>
    </w:p>
    <w:p w14:paraId="405429DD" w14:textId="77777777" w:rsidR="005442F2" w:rsidRPr="005442F2" w:rsidRDefault="005442F2" w:rsidP="005442F2">
      <w:pPr>
        <w:pStyle w:val="Nadpis1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bookmarkStart w:id="10" w:name="_Toc128393478"/>
      <w:r w:rsidRPr="005442F2">
        <w:rPr>
          <w:rFonts w:asciiTheme="minorHAnsi" w:hAnsiTheme="minorHAnsi" w:cstheme="minorHAnsi"/>
        </w:rPr>
        <w:t>Přílohy</w:t>
      </w:r>
      <w:bookmarkEnd w:id="10"/>
    </w:p>
    <w:p w14:paraId="38145DDA" w14:textId="2DBF79FB" w:rsidR="005442F2" w:rsidRPr="005442F2" w:rsidRDefault="005442F2" w:rsidP="005442F2">
      <w:pPr>
        <w:spacing w:after="120" w:line="240" w:lineRule="auto"/>
        <w:rPr>
          <w:rFonts w:cstheme="minorHAnsi"/>
        </w:rPr>
      </w:pPr>
      <w:r w:rsidRPr="005442F2">
        <w:rPr>
          <w:rFonts w:cstheme="minorHAnsi"/>
        </w:rPr>
        <w:t>Projektová dokumentace šachty Š1</w:t>
      </w:r>
    </w:p>
    <w:p w14:paraId="25B7582B" w14:textId="409AA101" w:rsidR="005442F2" w:rsidRPr="005442F2" w:rsidRDefault="005442F2" w:rsidP="005442F2">
      <w:pPr>
        <w:spacing w:after="120" w:line="240" w:lineRule="auto"/>
        <w:rPr>
          <w:rFonts w:cstheme="minorHAnsi"/>
        </w:rPr>
      </w:pPr>
      <w:r w:rsidRPr="005442F2">
        <w:rPr>
          <w:rFonts w:cstheme="minorHAnsi"/>
        </w:rPr>
        <w:t>Vzorové řezy uložení potrubí</w:t>
      </w:r>
      <w:r w:rsidR="00CF255F">
        <w:rPr>
          <w:rFonts w:cstheme="minorHAnsi"/>
        </w:rPr>
        <w:t xml:space="preserve"> 2 x</w:t>
      </w:r>
    </w:p>
    <w:p w14:paraId="79284931" w14:textId="04D9E36D" w:rsidR="00652399" w:rsidRPr="005442F2" w:rsidRDefault="005442F2" w:rsidP="00FE2F1C">
      <w:pPr>
        <w:spacing w:after="120" w:line="240" w:lineRule="auto"/>
        <w:rPr>
          <w:rFonts w:cstheme="minorHAnsi"/>
        </w:rPr>
      </w:pPr>
      <w:r w:rsidRPr="005442F2">
        <w:rPr>
          <w:rFonts w:cstheme="minorHAnsi"/>
        </w:rPr>
        <w:t xml:space="preserve">Plán kontrol a zkoušek </w:t>
      </w:r>
    </w:p>
    <w:sectPr w:rsidR="00652399" w:rsidRPr="005442F2" w:rsidSect="005442F2">
      <w:footerReference w:type="first" r:id="rId8"/>
      <w:pgSz w:w="11906" w:h="16838"/>
      <w:pgMar w:top="1418" w:right="1133" w:bottom="1276" w:left="1417" w:header="708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6732B" w14:textId="77777777" w:rsidR="00C817A0" w:rsidRDefault="00C817A0" w:rsidP="00CE0F2A">
      <w:pPr>
        <w:spacing w:after="0" w:line="240" w:lineRule="auto"/>
      </w:pPr>
      <w:r>
        <w:separator/>
      </w:r>
    </w:p>
  </w:endnote>
  <w:endnote w:type="continuationSeparator" w:id="0">
    <w:p w14:paraId="4D80AE3C" w14:textId="77777777" w:rsidR="00C817A0" w:rsidRDefault="00C817A0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06684" w14:textId="77777777" w:rsidR="00435077" w:rsidRPr="005F3311" w:rsidRDefault="00435077" w:rsidP="00FF5073">
    <w:pPr>
      <w:jc w:val="right"/>
      <w:rPr>
        <w:sz w:val="12"/>
        <w:szCs w:val="12"/>
      </w:rPr>
    </w:pPr>
    <w:r w:rsidRPr="005F3311">
      <w:rPr>
        <w:sz w:val="12"/>
        <w:szCs w:val="12"/>
      </w:rPr>
      <w:fldChar w:fldCharType="begin"/>
    </w:r>
    <w:r w:rsidRPr="005F3311">
      <w:rPr>
        <w:sz w:val="12"/>
        <w:szCs w:val="12"/>
      </w:rPr>
      <w:instrText xml:space="preserve"> DOCPROPERTY  NazevSouboru  \* MERGEFORMAT </w:instrText>
    </w:r>
    <w:r w:rsidRPr="005F3311">
      <w:rPr>
        <w:sz w:val="12"/>
        <w:szCs w:val="12"/>
      </w:rPr>
      <w:fldChar w:fldCharType="separate"/>
    </w:r>
    <w:r w:rsidR="00FF604E">
      <w:rPr>
        <w:sz w:val="12"/>
        <w:szCs w:val="12"/>
      </w:rPr>
      <w:t>Z17028-DPS-B-002.docx</w:t>
    </w:r>
    <w:r w:rsidRPr="005F3311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4B43" w14:textId="77777777" w:rsidR="00C817A0" w:rsidRDefault="00C817A0" w:rsidP="00CE0F2A">
      <w:pPr>
        <w:spacing w:after="0" w:line="240" w:lineRule="auto"/>
      </w:pPr>
      <w:r>
        <w:separator/>
      </w:r>
    </w:p>
  </w:footnote>
  <w:footnote w:type="continuationSeparator" w:id="0">
    <w:p w14:paraId="3A0C05A4" w14:textId="77777777" w:rsidR="00C817A0" w:rsidRDefault="00C817A0" w:rsidP="00CE0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94E18"/>
    <w:multiLevelType w:val="hybridMultilevel"/>
    <w:tmpl w:val="6A523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2856"/>
    <w:multiLevelType w:val="hybridMultilevel"/>
    <w:tmpl w:val="1B5285F8"/>
    <w:lvl w:ilvl="0" w:tplc="2B5843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2AA1F5B"/>
    <w:multiLevelType w:val="hybridMultilevel"/>
    <w:tmpl w:val="31A4CCE4"/>
    <w:lvl w:ilvl="0" w:tplc="DBC249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245EB"/>
    <w:multiLevelType w:val="hybridMultilevel"/>
    <w:tmpl w:val="0128D018"/>
    <w:lvl w:ilvl="0" w:tplc="136429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A07D2"/>
    <w:multiLevelType w:val="hybridMultilevel"/>
    <w:tmpl w:val="7058470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90E43F0"/>
    <w:multiLevelType w:val="hybridMultilevel"/>
    <w:tmpl w:val="BA642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B4AF3"/>
    <w:multiLevelType w:val="hybridMultilevel"/>
    <w:tmpl w:val="33B0747A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526311">
    <w:abstractNumId w:val="6"/>
  </w:num>
  <w:num w:numId="2" w16cid:durableId="13459924">
    <w:abstractNumId w:val="13"/>
  </w:num>
  <w:num w:numId="3" w16cid:durableId="1008599293">
    <w:abstractNumId w:val="2"/>
  </w:num>
  <w:num w:numId="4" w16cid:durableId="520241754">
    <w:abstractNumId w:val="4"/>
  </w:num>
  <w:num w:numId="5" w16cid:durableId="1827697559">
    <w:abstractNumId w:val="8"/>
  </w:num>
  <w:num w:numId="6" w16cid:durableId="461969974">
    <w:abstractNumId w:val="12"/>
  </w:num>
  <w:num w:numId="7" w16cid:durableId="1307858277">
    <w:abstractNumId w:val="11"/>
  </w:num>
  <w:num w:numId="8" w16cid:durableId="1294870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8966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8284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9716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5163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05220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07837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08131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05217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79139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54849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1519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2014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5553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6993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0873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0539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6971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16149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113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37839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15504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604472">
    <w:abstractNumId w:val="7"/>
  </w:num>
  <w:num w:numId="31" w16cid:durableId="1037972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0756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1025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5511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99585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90884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5286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636192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65224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215317">
    <w:abstractNumId w:val="1"/>
  </w:num>
  <w:num w:numId="41" w16cid:durableId="735124068">
    <w:abstractNumId w:val="10"/>
  </w:num>
  <w:num w:numId="42" w16cid:durableId="163520239">
    <w:abstractNumId w:val="5"/>
  </w:num>
  <w:num w:numId="43" w16cid:durableId="1329359769">
    <w:abstractNumId w:val="0"/>
  </w:num>
  <w:num w:numId="44" w16cid:durableId="405078346">
    <w:abstractNumId w:val="9"/>
  </w:num>
  <w:num w:numId="45" w16cid:durableId="1142817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2A"/>
    <w:rsid w:val="00000273"/>
    <w:rsid w:val="00006DF8"/>
    <w:rsid w:val="00023ABE"/>
    <w:rsid w:val="000315B2"/>
    <w:rsid w:val="0004204E"/>
    <w:rsid w:val="00045929"/>
    <w:rsid w:val="0004799C"/>
    <w:rsid w:val="00051392"/>
    <w:rsid w:val="00054559"/>
    <w:rsid w:val="00063E12"/>
    <w:rsid w:val="00072B7E"/>
    <w:rsid w:val="00073161"/>
    <w:rsid w:val="00074F1E"/>
    <w:rsid w:val="00075048"/>
    <w:rsid w:val="000871C9"/>
    <w:rsid w:val="00092888"/>
    <w:rsid w:val="00094B06"/>
    <w:rsid w:val="000959D3"/>
    <w:rsid w:val="00096BEB"/>
    <w:rsid w:val="000B5FF3"/>
    <w:rsid w:val="000C0878"/>
    <w:rsid w:val="000D280C"/>
    <w:rsid w:val="000D5648"/>
    <w:rsid w:val="000F326C"/>
    <w:rsid w:val="000F38B2"/>
    <w:rsid w:val="000F6755"/>
    <w:rsid w:val="00100248"/>
    <w:rsid w:val="00103BFE"/>
    <w:rsid w:val="001165FD"/>
    <w:rsid w:val="00130F76"/>
    <w:rsid w:val="00143450"/>
    <w:rsid w:val="00171748"/>
    <w:rsid w:val="00174F3C"/>
    <w:rsid w:val="00184DC5"/>
    <w:rsid w:val="00185B6C"/>
    <w:rsid w:val="001A232A"/>
    <w:rsid w:val="001A3982"/>
    <w:rsid w:val="001A5B55"/>
    <w:rsid w:val="001E0270"/>
    <w:rsid w:val="00210150"/>
    <w:rsid w:val="0021589A"/>
    <w:rsid w:val="00220425"/>
    <w:rsid w:val="00222DC8"/>
    <w:rsid w:val="002327F6"/>
    <w:rsid w:val="002371FC"/>
    <w:rsid w:val="00237395"/>
    <w:rsid w:val="00237DEE"/>
    <w:rsid w:val="002471E9"/>
    <w:rsid w:val="002651AB"/>
    <w:rsid w:val="00265517"/>
    <w:rsid w:val="00273854"/>
    <w:rsid w:val="00294A74"/>
    <w:rsid w:val="002A1F03"/>
    <w:rsid w:val="002B6286"/>
    <w:rsid w:val="002B77E9"/>
    <w:rsid w:val="002D24BF"/>
    <w:rsid w:val="002D4739"/>
    <w:rsid w:val="002D7071"/>
    <w:rsid w:val="002D7E59"/>
    <w:rsid w:val="002E12CA"/>
    <w:rsid w:val="00302896"/>
    <w:rsid w:val="003055E1"/>
    <w:rsid w:val="00306216"/>
    <w:rsid w:val="0031158E"/>
    <w:rsid w:val="0032684A"/>
    <w:rsid w:val="003320F1"/>
    <w:rsid w:val="00332D87"/>
    <w:rsid w:val="00350C45"/>
    <w:rsid w:val="0036552C"/>
    <w:rsid w:val="003B1BD1"/>
    <w:rsid w:val="003D2F11"/>
    <w:rsid w:val="00407BA1"/>
    <w:rsid w:val="00415F11"/>
    <w:rsid w:val="004216C5"/>
    <w:rsid w:val="004234F7"/>
    <w:rsid w:val="00425F0B"/>
    <w:rsid w:val="00434D13"/>
    <w:rsid w:val="00435077"/>
    <w:rsid w:val="00446D36"/>
    <w:rsid w:val="00450973"/>
    <w:rsid w:val="00453628"/>
    <w:rsid w:val="004623F6"/>
    <w:rsid w:val="00463849"/>
    <w:rsid w:val="004648D8"/>
    <w:rsid w:val="00464C9B"/>
    <w:rsid w:val="00470016"/>
    <w:rsid w:val="004764DB"/>
    <w:rsid w:val="00491B9D"/>
    <w:rsid w:val="004A3AE8"/>
    <w:rsid w:val="004A6A5C"/>
    <w:rsid w:val="004C1DCA"/>
    <w:rsid w:val="004D55C3"/>
    <w:rsid w:val="004F4AB3"/>
    <w:rsid w:val="004F4C40"/>
    <w:rsid w:val="004F65AB"/>
    <w:rsid w:val="00504BB4"/>
    <w:rsid w:val="0051607F"/>
    <w:rsid w:val="00523686"/>
    <w:rsid w:val="00525EF0"/>
    <w:rsid w:val="005324FC"/>
    <w:rsid w:val="00532B85"/>
    <w:rsid w:val="00541FFF"/>
    <w:rsid w:val="005442F2"/>
    <w:rsid w:val="005601CD"/>
    <w:rsid w:val="00563E0F"/>
    <w:rsid w:val="00580D10"/>
    <w:rsid w:val="005812D6"/>
    <w:rsid w:val="00596E30"/>
    <w:rsid w:val="005A1B8C"/>
    <w:rsid w:val="005A4BA0"/>
    <w:rsid w:val="005A76CC"/>
    <w:rsid w:val="005B219F"/>
    <w:rsid w:val="005B404B"/>
    <w:rsid w:val="005B4924"/>
    <w:rsid w:val="005E0109"/>
    <w:rsid w:val="005E0525"/>
    <w:rsid w:val="005F3311"/>
    <w:rsid w:val="005F49B8"/>
    <w:rsid w:val="006027EA"/>
    <w:rsid w:val="00617418"/>
    <w:rsid w:val="006254AB"/>
    <w:rsid w:val="0063510A"/>
    <w:rsid w:val="006452CF"/>
    <w:rsid w:val="00647B4B"/>
    <w:rsid w:val="00652399"/>
    <w:rsid w:val="0066305E"/>
    <w:rsid w:val="006801DB"/>
    <w:rsid w:val="00685C31"/>
    <w:rsid w:val="006875AD"/>
    <w:rsid w:val="00695DDB"/>
    <w:rsid w:val="006C7103"/>
    <w:rsid w:val="006E5185"/>
    <w:rsid w:val="006E7F17"/>
    <w:rsid w:val="006F576F"/>
    <w:rsid w:val="006F5E6D"/>
    <w:rsid w:val="00701AB2"/>
    <w:rsid w:val="007220D7"/>
    <w:rsid w:val="00756554"/>
    <w:rsid w:val="007611B2"/>
    <w:rsid w:val="00761A0C"/>
    <w:rsid w:val="00772224"/>
    <w:rsid w:val="00774E12"/>
    <w:rsid w:val="00776F90"/>
    <w:rsid w:val="00780E1F"/>
    <w:rsid w:val="00794C1C"/>
    <w:rsid w:val="007A2D31"/>
    <w:rsid w:val="007B5B46"/>
    <w:rsid w:val="007B7C53"/>
    <w:rsid w:val="007D1D03"/>
    <w:rsid w:val="007E2089"/>
    <w:rsid w:val="007F1AA5"/>
    <w:rsid w:val="007F67BD"/>
    <w:rsid w:val="0082192C"/>
    <w:rsid w:val="00835EF5"/>
    <w:rsid w:val="008436C9"/>
    <w:rsid w:val="008443FE"/>
    <w:rsid w:val="008508F7"/>
    <w:rsid w:val="00871930"/>
    <w:rsid w:val="00872818"/>
    <w:rsid w:val="00873989"/>
    <w:rsid w:val="00874013"/>
    <w:rsid w:val="008873D6"/>
    <w:rsid w:val="00894775"/>
    <w:rsid w:val="00896DAE"/>
    <w:rsid w:val="008A2EB5"/>
    <w:rsid w:val="008A3AB1"/>
    <w:rsid w:val="008A585D"/>
    <w:rsid w:val="008C4E46"/>
    <w:rsid w:val="008C5D82"/>
    <w:rsid w:val="008D228A"/>
    <w:rsid w:val="008E364C"/>
    <w:rsid w:val="008F65E0"/>
    <w:rsid w:val="00903A15"/>
    <w:rsid w:val="00914C30"/>
    <w:rsid w:val="00915406"/>
    <w:rsid w:val="009329BC"/>
    <w:rsid w:val="0095490F"/>
    <w:rsid w:val="00963C31"/>
    <w:rsid w:val="00974EBD"/>
    <w:rsid w:val="00975796"/>
    <w:rsid w:val="009852A4"/>
    <w:rsid w:val="00987EC2"/>
    <w:rsid w:val="00992FB2"/>
    <w:rsid w:val="009A033C"/>
    <w:rsid w:val="009A2F81"/>
    <w:rsid w:val="009A45E2"/>
    <w:rsid w:val="009A54F4"/>
    <w:rsid w:val="009A74A1"/>
    <w:rsid w:val="009B7D9C"/>
    <w:rsid w:val="009C4EB7"/>
    <w:rsid w:val="009E1A9D"/>
    <w:rsid w:val="009F2ED6"/>
    <w:rsid w:val="009F4A22"/>
    <w:rsid w:val="00A002B6"/>
    <w:rsid w:val="00A063ED"/>
    <w:rsid w:val="00A108EB"/>
    <w:rsid w:val="00A12DC4"/>
    <w:rsid w:val="00A14D83"/>
    <w:rsid w:val="00A305CC"/>
    <w:rsid w:val="00A43B68"/>
    <w:rsid w:val="00A52307"/>
    <w:rsid w:val="00A65523"/>
    <w:rsid w:val="00A80AE7"/>
    <w:rsid w:val="00A812A3"/>
    <w:rsid w:val="00AB161F"/>
    <w:rsid w:val="00AB60B8"/>
    <w:rsid w:val="00AC315E"/>
    <w:rsid w:val="00AC3E93"/>
    <w:rsid w:val="00AC5179"/>
    <w:rsid w:val="00AE090A"/>
    <w:rsid w:val="00AF0D9B"/>
    <w:rsid w:val="00AF16E3"/>
    <w:rsid w:val="00AF6414"/>
    <w:rsid w:val="00B05BF2"/>
    <w:rsid w:val="00B067DC"/>
    <w:rsid w:val="00B075B5"/>
    <w:rsid w:val="00B102F1"/>
    <w:rsid w:val="00B121F8"/>
    <w:rsid w:val="00B60E17"/>
    <w:rsid w:val="00B64176"/>
    <w:rsid w:val="00B76599"/>
    <w:rsid w:val="00B87673"/>
    <w:rsid w:val="00BB1866"/>
    <w:rsid w:val="00BB26F8"/>
    <w:rsid w:val="00BC414B"/>
    <w:rsid w:val="00BC5B65"/>
    <w:rsid w:val="00BE69C4"/>
    <w:rsid w:val="00BF0189"/>
    <w:rsid w:val="00C03106"/>
    <w:rsid w:val="00C40A58"/>
    <w:rsid w:val="00C45D9E"/>
    <w:rsid w:val="00C479B8"/>
    <w:rsid w:val="00C50366"/>
    <w:rsid w:val="00C56A6C"/>
    <w:rsid w:val="00C61865"/>
    <w:rsid w:val="00C67241"/>
    <w:rsid w:val="00C7397E"/>
    <w:rsid w:val="00C817A0"/>
    <w:rsid w:val="00C94ED1"/>
    <w:rsid w:val="00CB2AA8"/>
    <w:rsid w:val="00CB6834"/>
    <w:rsid w:val="00CC0BE8"/>
    <w:rsid w:val="00CD1901"/>
    <w:rsid w:val="00CD5BC9"/>
    <w:rsid w:val="00CE0F2A"/>
    <w:rsid w:val="00CE17A8"/>
    <w:rsid w:val="00CF255F"/>
    <w:rsid w:val="00D16795"/>
    <w:rsid w:val="00D176AF"/>
    <w:rsid w:val="00D24823"/>
    <w:rsid w:val="00D32C90"/>
    <w:rsid w:val="00D3525E"/>
    <w:rsid w:val="00D3607E"/>
    <w:rsid w:val="00D362A0"/>
    <w:rsid w:val="00D508C1"/>
    <w:rsid w:val="00D74FE7"/>
    <w:rsid w:val="00D81687"/>
    <w:rsid w:val="00DA6918"/>
    <w:rsid w:val="00DB0651"/>
    <w:rsid w:val="00DB7215"/>
    <w:rsid w:val="00DF780E"/>
    <w:rsid w:val="00E034FA"/>
    <w:rsid w:val="00E14671"/>
    <w:rsid w:val="00E24525"/>
    <w:rsid w:val="00E253EE"/>
    <w:rsid w:val="00E40364"/>
    <w:rsid w:val="00E426B1"/>
    <w:rsid w:val="00E433CA"/>
    <w:rsid w:val="00E446D4"/>
    <w:rsid w:val="00E5041A"/>
    <w:rsid w:val="00E62256"/>
    <w:rsid w:val="00E72822"/>
    <w:rsid w:val="00E73AF5"/>
    <w:rsid w:val="00E74E64"/>
    <w:rsid w:val="00E752A6"/>
    <w:rsid w:val="00E767A4"/>
    <w:rsid w:val="00E80D08"/>
    <w:rsid w:val="00E814F5"/>
    <w:rsid w:val="00E8341D"/>
    <w:rsid w:val="00E85AB5"/>
    <w:rsid w:val="00E95856"/>
    <w:rsid w:val="00E95E59"/>
    <w:rsid w:val="00EA4463"/>
    <w:rsid w:val="00EB0B7C"/>
    <w:rsid w:val="00EB194D"/>
    <w:rsid w:val="00EB5FFB"/>
    <w:rsid w:val="00EC4C6B"/>
    <w:rsid w:val="00EE31FB"/>
    <w:rsid w:val="00EE4DAA"/>
    <w:rsid w:val="00EF253C"/>
    <w:rsid w:val="00EF6FC7"/>
    <w:rsid w:val="00F167F4"/>
    <w:rsid w:val="00F562D8"/>
    <w:rsid w:val="00F669C0"/>
    <w:rsid w:val="00F6741B"/>
    <w:rsid w:val="00F82C8F"/>
    <w:rsid w:val="00F93B8E"/>
    <w:rsid w:val="00F9474F"/>
    <w:rsid w:val="00FA1134"/>
    <w:rsid w:val="00FA669F"/>
    <w:rsid w:val="00FC02D4"/>
    <w:rsid w:val="00FC35F9"/>
    <w:rsid w:val="00FC6505"/>
    <w:rsid w:val="00FD2189"/>
    <w:rsid w:val="00FD539B"/>
    <w:rsid w:val="00FE2479"/>
    <w:rsid w:val="00FE2F1C"/>
    <w:rsid w:val="00FE5120"/>
    <w:rsid w:val="00FE7A7F"/>
    <w:rsid w:val="00FF0244"/>
    <w:rsid w:val="00FF5073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837E9"/>
  <w15:docId w15:val="{19782423-3F52-45FF-9EF4-87696EC9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6F90"/>
    <w:pPr>
      <w:ind w:firstLine="340"/>
      <w:jc w:val="both"/>
    </w:pPr>
  </w:style>
  <w:style w:type="paragraph" w:styleId="Nadpis1">
    <w:name w:val="heading 1"/>
    <w:basedOn w:val="Normln"/>
    <w:next w:val="Nadpis2"/>
    <w:link w:val="Nadpis1Char"/>
    <w:rsid w:val="008D228A"/>
    <w:pPr>
      <w:keepNext/>
      <w:keepLines/>
      <w:spacing w:before="360" w:after="120"/>
      <w:ind w:firstLine="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4623F6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0" w:firstLine="0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rsid w:val="00000273"/>
    <w:pPr>
      <w:keepNext/>
      <w:tabs>
        <w:tab w:val="num" w:pos="720"/>
      </w:tabs>
      <w:spacing w:before="240" w:after="60" w:line="240" w:lineRule="auto"/>
      <w:ind w:firstLine="0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rsid w:val="00CE0F2A"/>
    <w:pPr>
      <w:keepNext/>
      <w:tabs>
        <w:tab w:val="num" w:pos="1080"/>
      </w:tabs>
      <w:spacing w:before="240" w:after="60" w:line="240" w:lineRule="auto"/>
      <w:ind w:left="357" w:hanging="357"/>
      <w:outlineLvl w:val="3"/>
    </w:pPr>
    <w:rPr>
      <w:rFonts w:ascii="Arial" w:eastAsia="Times New Roman" w:hAnsi="Arial" w:cs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2A"/>
  </w:style>
  <w:style w:type="paragraph" w:styleId="Zpat">
    <w:name w:val="footer"/>
    <w:basedOn w:val="Normln"/>
    <w:link w:val="ZpatChar"/>
    <w:uiPriority w:val="99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2A"/>
  </w:style>
  <w:style w:type="paragraph" w:styleId="Textbubliny">
    <w:name w:val="Balloon Text"/>
    <w:basedOn w:val="Normln"/>
    <w:link w:val="TextbublinyChar"/>
    <w:uiPriority w:val="99"/>
    <w:semiHidden/>
    <w:unhideWhenUsed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ascii="Arial" w:eastAsia="Times New Roman" w:hAnsi="Arial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E0F2A"/>
    <w:rPr>
      <w:rFonts w:ascii="Arial" w:eastAsia="Times New Roman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rsid w:val="00CE0F2A"/>
    <w:rPr>
      <w:rFonts w:ascii="Arial" w:hAnsi="Arial"/>
      <w:b/>
      <w:bCs/>
      <w:smallCaps/>
      <w:spacing w:val="5"/>
      <w:sz w:val="32"/>
    </w:rPr>
  </w:style>
  <w:style w:type="character" w:customStyle="1" w:styleId="Nadpis1Char">
    <w:name w:val="Nadpis 1 Char"/>
    <w:basedOn w:val="Standardnpsmoodstavce"/>
    <w:link w:val="Nadpis1"/>
    <w:rsid w:val="008D228A"/>
    <w:rPr>
      <w:rFonts w:ascii="Arial Black" w:eastAsiaTheme="majorEastAsia" w:hAnsi="Arial Black" w:cstheme="majorBidi"/>
      <w:b/>
      <w:bCs/>
      <w:sz w:val="28"/>
      <w:szCs w:val="28"/>
    </w:rPr>
  </w:style>
  <w:style w:type="paragraph" w:styleId="Bezmezer">
    <w:name w:val="No Spacing"/>
    <w:uiPriority w:val="1"/>
    <w:qFormat/>
    <w:rsid w:val="00350C45"/>
    <w:pPr>
      <w:spacing w:after="0" w:line="240" w:lineRule="auto"/>
      <w:jc w:val="both"/>
    </w:pPr>
  </w:style>
  <w:style w:type="character" w:customStyle="1" w:styleId="Nadpis2Char">
    <w:name w:val="Nadpis 2 Char"/>
    <w:basedOn w:val="Standardnpsmoodstavce"/>
    <w:link w:val="Nadpis2"/>
    <w:rsid w:val="004623F6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0273"/>
    <w:rPr>
      <w:rFonts w:ascii="Arial Black" w:eastAsia="Times New Roman" w:hAnsi="Arial Black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E0F2A"/>
    <w:rPr>
      <w:rFonts w:ascii="Arial" w:eastAsia="Times New Roman" w:hAnsi="Arial" w:cs="Times New Roman"/>
      <w:bCs/>
      <w:i/>
      <w:szCs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77E9"/>
    <w:pPr>
      <w:numPr>
        <w:ilvl w:val="1"/>
      </w:numPr>
      <w:spacing w:before="120" w:after="120"/>
      <w:ind w:firstLine="340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B77E9"/>
    <w:rPr>
      <w:rFonts w:ascii="Arial Black" w:eastAsiaTheme="majorEastAsia" w:hAnsi="Arial Black" w:cstheme="majorBidi"/>
      <w:b/>
      <w:iCs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2C8F"/>
    <w:pPr>
      <w:spacing w:before="480" w:after="0"/>
      <w:outlineLvl w:val="9"/>
    </w:pPr>
    <w:rPr>
      <w:rFonts w:asciiTheme="majorHAnsi" w:hAnsiTheme="majorHAnsi"/>
      <w:b w:val="0"/>
      <w:color w:val="A5A5A5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2C8F"/>
    <w:rPr>
      <w:color w:val="5F5F5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E2089"/>
    <w:pPr>
      <w:tabs>
        <w:tab w:val="left" w:pos="1418"/>
        <w:tab w:val="right" w:leader="dot" w:pos="9346"/>
      </w:tabs>
      <w:spacing w:after="100" w:line="240" w:lineRule="auto"/>
      <w:ind w:left="1276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6254AB"/>
    <w:pPr>
      <w:spacing w:after="100"/>
      <w:ind w:left="440"/>
    </w:pPr>
    <w:rPr>
      <w:rFonts w:eastAsiaTheme="minorEastAsia"/>
    </w:rPr>
  </w:style>
  <w:style w:type="paragraph" w:customStyle="1" w:styleId="Nadpis20">
    <w:name w:val="Nadpis2"/>
    <w:basedOn w:val="Nadpis2"/>
    <w:link w:val="Nadpis2Char0"/>
    <w:rsid w:val="006E5185"/>
  </w:style>
  <w:style w:type="character" w:customStyle="1" w:styleId="Nadpis2Char0">
    <w:name w:val="Nadpis2 Char"/>
    <w:basedOn w:val="Nadpis2Char"/>
    <w:link w:val="Nadpis20"/>
    <w:rsid w:val="006E5185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uiPriority w:val="59"/>
    <w:rsid w:val="00E4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6F576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F576F"/>
  </w:style>
  <w:style w:type="paragraph" w:styleId="Zkladntext2">
    <w:name w:val="Body Text 2"/>
    <w:basedOn w:val="Normln"/>
    <w:link w:val="Zkladntext2Char"/>
    <w:uiPriority w:val="99"/>
    <w:semiHidden/>
    <w:unhideWhenUsed/>
    <w:rsid w:val="008719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1930"/>
  </w:style>
  <w:style w:type="paragraph" w:customStyle="1" w:styleId="Nadpisek">
    <w:name w:val="Nadpisek"/>
    <w:basedOn w:val="Normln"/>
    <w:next w:val="Normln"/>
    <w:qFormat/>
    <w:rsid w:val="00C7397E"/>
    <w:pPr>
      <w:keepNext/>
      <w:spacing w:before="200" w:after="0" w:line="240" w:lineRule="auto"/>
      <w:ind w:firstLine="0"/>
      <w:jc w:val="left"/>
    </w:pPr>
    <w:rPr>
      <w:rFonts w:eastAsia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nza,a.s. - projekce">
  <a:themeElements>
    <a:clrScheme name="Tenza, a.s. - projekc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enza,a.s. - projek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000D-FAF9-4BF4-995E-0F5DD079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1118</Words>
  <Characters>6598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Krmela</dc:creator>
  <cp:keywords/>
  <dc:description/>
  <cp:lastModifiedBy>Igor Kocurek</cp:lastModifiedBy>
  <cp:revision>4</cp:revision>
  <cp:lastPrinted>2011-06-03T11:05:00Z</cp:lastPrinted>
  <dcterms:created xsi:type="dcterms:W3CDTF">2023-02-27T10:59:00Z</dcterms:created>
  <dcterms:modified xsi:type="dcterms:W3CDTF">2023-02-27T11:32:00Z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Quick Change</vt:lpwstr>
  </property>
  <property fmtid="{D5CDD505-2E9C-101B-9397-08002B2CF9AE}" pid="3" name="CisloZakazky">
    <vt:lpwstr>Z17028</vt:lpwstr>
  </property>
  <property fmtid="{D5CDD505-2E9C-101B-9397-08002B2CF9AE}" pid="4" name="NazevZakazky">
    <vt:lpwstr>Oprava teplovodní přípojky polikliniky - Kopřivnice</vt:lpwstr>
  </property>
  <property fmtid="{D5CDD505-2E9C-101B-9397-08002B2CF9AE}" pid="5" name="Zakaznik">
    <vt:lpwstr>Teplo Kopřivnice s.r.o.</vt:lpwstr>
  </property>
  <property fmtid="{D5CDD505-2E9C-101B-9397-08002B2CF9AE}" pid="6" name="Vypracoval">
    <vt:lpwstr>Červeňak Dušan, Ing.</vt:lpwstr>
  </property>
  <property fmtid="{D5CDD505-2E9C-101B-9397-08002B2CF9AE}" pid="7" name="VypracovalDatum">
    <vt:lpwstr>27.02.2017</vt:lpwstr>
  </property>
  <property fmtid="{D5CDD505-2E9C-101B-9397-08002B2CF9AE}" pid="8" name="HIP">
    <vt:lpwstr>Červeňak Dušan, Ing.</vt:lpwstr>
  </property>
  <property fmtid="{D5CDD505-2E9C-101B-9397-08002B2CF9AE}" pid="9" name="ZodpovednyProjektant">
    <vt:lpwstr>Zápeca František, Ing.</vt:lpwstr>
  </property>
  <property fmtid="{D5CDD505-2E9C-101B-9397-08002B2CF9AE}" pid="10" name="Revize">
    <vt:lpwstr>A</vt:lpwstr>
  </property>
  <property fmtid="{D5CDD505-2E9C-101B-9397-08002B2CF9AE}" pid="11" name="ICO">
    <vt:lpwstr>26789264</vt:lpwstr>
  </property>
  <property fmtid="{D5CDD505-2E9C-101B-9397-08002B2CF9AE}" pid="12" name="DIC">
    <vt:lpwstr>CZ26789264</vt:lpwstr>
  </property>
  <property fmtid="{D5CDD505-2E9C-101B-9397-08002B2CF9AE}" pid="13" name="JednajiciTech">
    <vt:lpwstr> </vt:lpwstr>
  </property>
  <property fmtid="{D5CDD505-2E9C-101B-9397-08002B2CF9AE}" pid="14" name="JednajiciObch">
    <vt:lpwstr>Ing. Igor Kocurek </vt:lpwstr>
  </property>
  <property fmtid="{D5CDD505-2E9C-101B-9397-08002B2CF9AE}" pid="15" name="MistoStavby">
    <vt:lpwstr>Kopřivnice</vt:lpwstr>
  </property>
  <property fmtid="{D5CDD505-2E9C-101B-9397-08002B2CF9AE}" pid="16" name="NazevSouboru">
    <vt:lpwstr>Z17028-DPS-B-002.docx</vt:lpwstr>
  </property>
  <property fmtid="{D5CDD505-2E9C-101B-9397-08002B2CF9AE}" pid="17" name="Stupen">
    <vt:lpwstr>DPS</vt:lpwstr>
  </property>
  <property fmtid="{D5CDD505-2E9C-101B-9397-08002B2CF9AE}" pid="18" name="Forward To">
    <vt:lpwstr>vitek</vt:lpwstr>
  </property>
  <property fmtid="{D5CDD505-2E9C-101B-9397-08002B2CF9AE}" pid="19" name="Kontroloval">
    <vt:lpwstr>Zápeca František, Ing.</vt:lpwstr>
  </property>
  <property fmtid="{D5CDD505-2E9C-101B-9397-08002B2CF9AE}" pid="20" name="ArchivniCislo">
    <vt:lpwstr>Z17028-DPS-B-002</vt:lpwstr>
  </property>
  <property fmtid="{D5CDD505-2E9C-101B-9397-08002B2CF9AE}" pid="21" name="NazevDokumentu">
    <vt:lpwstr>Souhrnná technická zpráva</vt:lpwstr>
  </property>
  <property fmtid="{D5CDD505-2E9C-101B-9397-08002B2CF9AE}" pid="22" name="HIPDatum">
    <vt:lpwstr>30.03.2017</vt:lpwstr>
  </property>
  <property fmtid="{D5CDD505-2E9C-101B-9397-08002B2CF9AE}" pid="23" name="ZodpovednyProjektantDatum">
    <vt:lpwstr>30.03.2017</vt:lpwstr>
  </property>
  <property fmtid="{D5CDD505-2E9C-101B-9397-08002B2CF9AE}" pid="24" name="KontrolovalDatum">
    <vt:lpwstr>30.03.2017</vt:lpwstr>
  </property>
  <property fmtid="{D5CDD505-2E9C-101B-9397-08002B2CF9AE}" pid="25" name="ZakaznikUlice">
    <vt:lpwstr>Štefánikova 1163</vt:lpwstr>
  </property>
  <property fmtid="{D5CDD505-2E9C-101B-9397-08002B2CF9AE}" pid="26" name="ZakaznikObec">
    <vt:lpwstr>Kopřivnice</vt:lpwstr>
  </property>
  <property fmtid="{D5CDD505-2E9C-101B-9397-08002B2CF9AE}" pid="27" name="ZakaznikPSC">
    <vt:lpwstr>74221</vt:lpwstr>
  </property>
  <property fmtid="{D5CDD505-2E9C-101B-9397-08002B2CF9AE}" pid="28" name="ZakaznikKraj">
    <vt:lpwstr>Moravskoslezský</vt:lpwstr>
  </property>
  <property fmtid="{D5CDD505-2E9C-101B-9397-08002B2CF9AE}" pid="29" name="NazevSPD">
    <vt:lpwstr>Dokumentace pro provádění stavby</vt:lpwstr>
  </property>
  <property fmtid="{D5CDD505-2E9C-101B-9397-08002B2CF9AE}" pid="30" name="PoradoveCislo">
    <vt:lpwstr>002</vt:lpwstr>
  </property>
  <property fmtid="{D5CDD505-2E9C-101B-9397-08002B2CF9AE}" pid="31" name="SZ">
    <vt:lpwstr>B</vt:lpwstr>
  </property>
  <property fmtid="{D5CDD505-2E9C-101B-9397-08002B2CF9AE}" pid="32" name="SZNazev">
    <vt:lpwstr>Souhrnná technická zpráva</vt:lpwstr>
  </property>
  <property fmtid="{D5CDD505-2E9C-101B-9397-08002B2CF9AE}" pid="33" name="PracovniVerze">
    <vt:lpwstr/>
  </property>
  <property fmtid="{D5CDD505-2E9C-101B-9397-08002B2CF9AE}" pid="34" name="Objekt">
    <vt:lpwstr/>
  </property>
  <property fmtid="{D5CDD505-2E9C-101B-9397-08002B2CF9AE}" pid="35" name="Podobjekt">
    <vt:lpwstr/>
  </property>
  <property fmtid="{D5CDD505-2E9C-101B-9397-08002B2CF9AE}" pid="36" name="ZkratkaObjektu">
    <vt:lpwstr/>
  </property>
  <property fmtid="{D5CDD505-2E9C-101B-9397-08002B2CF9AE}" pid="37" name="ZkratkaNazev1">
    <vt:lpwstr>B.Souhrnná technická zpráva</vt:lpwstr>
  </property>
  <property fmtid="{D5CDD505-2E9C-101B-9397-08002B2CF9AE}" pid="38" name="ZkratkaNazev2">
    <vt:lpwstr/>
  </property>
  <property fmtid="{D5CDD505-2E9C-101B-9397-08002B2CF9AE}" pid="39" name="ZkratkaNazev3">
    <vt:lpwstr/>
  </property>
  <property fmtid="{D5CDD505-2E9C-101B-9397-08002B2CF9AE}" pid="40" name="ZkratkaNazev4">
    <vt:lpwstr/>
  </property>
  <property fmtid="{D5CDD505-2E9C-101B-9397-08002B2CF9AE}" pid="41" name="ZkratkaNazev5">
    <vt:lpwstr/>
  </property>
</Properties>
</file>